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1"/>
        <w:jc w:val="left"/>
      </w:pPr>
      <w:r>
        <w:rPr>
          <w:rFonts w:ascii="仿宋_GB2312" w:hAnsi="宋体" w:eastAsia="仿宋_GB2312" w:cs="仿宋_GB2312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9427" w:type="dxa"/>
        <w:jc w:val="center"/>
        <w:tblInd w:w="237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553"/>
        <w:gridCol w:w="1807"/>
        <w:gridCol w:w="4253"/>
        <w:gridCol w:w="1210"/>
      </w:tblGrid>
      <w:tr>
        <w:tblPrEx>
          <w:shd w:val="clear"/>
          <w:tblLayout w:type="fixed"/>
        </w:tblPrEx>
        <w:trPr>
          <w:trHeight w:val="850" w:hRule="atLeast"/>
          <w:tblHeader/>
          <w:jc w:val="center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2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财务管理、会计学相关专业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人力资源管理、电力系统及其自动化相关专业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法律、行政管理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法律相关专业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科研咨询管理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能源经济学相关专业（海外背景或英语流利优先）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技术经济相关专业（财务背景优先）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科研咨询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电力系统方向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电力系统及其自动化相关专业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企业管理、能源管理相关专业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科研咨询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技术经济、西方经济学、能源经济学相关专业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硕士研究生及以上学历（博士优先）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计算机应用技术、大数据分析相关专业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财务金融方向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财务管理、会计、金融学相关专业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国际关系方向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国际关系、国际政治相关专业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能源管理方向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博士研究生优先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能源项目管理相关专业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物流工程方向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物流工程相关专业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期刊编辑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360" w:lineRule="atLeast"/>
              <w:ind w:left="408" w:right="0" w:hanging="408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lang w:val="en-US" w:eastAsia="zh-CN" w:bidi="ar"/>
              </w:rPr>
              <w:t>电力系统及其自动化相关专业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网络与信息安全相关专业</w:t>
            </w:r>
          </w:p>
        </w:tc>
        <w:tc>
          <w:tcPr>
            <w:tcW w:w="12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FAD699C"/>
    <w:rsid w:val="10F3030F"/>
    <w:rsid w:val="74E47605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3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4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5">
    <w:name w:val="hover13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12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2017-11-04T02:18:36Z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