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5001E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C5001E"/>
          <w:spacing w:val="0"/>
          <w:sz w:val="24"/>
          <w:szCs w:val="24"/>
          <w:bdr w:val="none" w:color="auto" w:sz="0" w:space="0"/>
          <w:shd w:val="clear" w:fill="FFFFFF"/>
        </w:rPr>
        <w:t>天津医科大学临床医学院应聘须知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一、报名方式：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以电子邮件方式报名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请将</w:t>
      </w: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个人简历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及天津医科大学临床医学院</w:t>
      </w: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应聘登记表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电子版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发送电子邮件至邮箱：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zuzhirenshibu2012@163.com。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发送邮件时请以附件形式发送，文件名及邮件主题统一命名为：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xx(应聘岗位)—xx(姓名)—xx(专业)—xx(学历)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二、面试时间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请面试人员按照规定日期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(由人事处电话告知)提前30分钟至人事处进行面试报到。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三、报到地点：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行政楼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205人事处办公室。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四、面试时需携带以下材料，面试报到时提交：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（一）个人纸质简历一份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（二）天津医科大学临床医学院教师应聘登记表一份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(到我院人事处网页下载专区下载，要求手填并贴上个人近期免冠彩照);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（三）毕业证及学位证书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)复印件;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（四）成绩单复印件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（五）能够证明个人能力的其他材料（如英语、计算机等级证书、教师资格证书、专业资格证书、获奖证书复印件）。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五、面试形式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(一)初试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(1)初试分为笔试和试讲两部分;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(2)笔试内容为专业知识，满分100分，时间为60分钟;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(3)试讲内容是从专业课中任选一章(绪论和第一章除外)，时间为15分钟左右，以板书与PPT相结合的形式;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(4)个别专业教师须进行实验操作。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2、行政人员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(1)初试分为笔试和面试两部分;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3、实验技术人员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(1)初试分为笔试、面试和实验操作三部分;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(4)面试将在实验操作结束后进行。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(二)复试：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一般情况下，在初试成绩汇总结束后，学院人事处将直接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通知初试通过者参加复试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(未通过者则不再通知)。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复试环节：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1.补充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自我介绍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(2-3分钟);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2.评委老师提问。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六、来院路线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天津火车站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(天津站A1站台)可</w:t>
      </w:r>
      <w:r>
        <w:rPr>
          <w:rStyle w:val="6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直接乘坐186定制专线或者186快线到天津医科大学临床医学院站下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天津西站北广场可乘坐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652路到津岐公路学苑路站下车，向西步行300米即到。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七、联系电话：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022—63837087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516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联系人：徐老师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天津医科大学临床医学院人事处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2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47F27"/>
    <w:rsid w:val="57B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2021-06-04T02:26:00Z</dcterms:created>
  <dc:creator>ぺ灬cc果冻ル</dc:creator>
  <cp:lastModifiedBy>ぺ灬cc果冻ル</cp:lastModifiedBy>
  <dcterms:modified xsi:type="dcterms:W3CDTF">2021-06-04T02:26:18Z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