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8FCFF"/>
        <w:spacing w:line="288" w:lineRule="atLeast"/>
        <w:ind w:left="0" w:firstLine="351"/>
        <w:rPr>
          <w:rFonts w:hint="eastAsia" w:ascii="宋体" w:hAnsi="宋体" w:eastAsia="宋体" w:cs="宋体"/>
          <w:b w:val="0"/>
          <w:i w:val="0"/>
          <w:caps w:val="0"/>
          <w:color w:val="333333"/>
          <w:spacing w:val="0"/>
          <w:sz w:val="17"/>
          <w:szCs w:val="17"/>
        </w:rPr>
      </w:pPr>
      <w:bookmarkStart w:id="0" w:name="_GoBack"/>
      <w:r>
        <w:rPr>
          <w:rFonts w:hint="eastAsia" w:ascii="宋体" w:hAnsi="宋体" w:eastAsia="宋体" w:cs="宋体"/>
          <w:b w:val="0"/>
          <w:i w:val="0"/>
          <w:caps w:val="0"/>
          <w:color w:val="333333"/>
          <w:spacing w:val="0"/>
          <w:sz w:val="17"/>
          <w:szCs w:val="17"/>
          <w:shd w:val="clear" w:fill="F8FCFF"/>
        </w:rPr>
        <w:t>技能（专业）考试大纲</w:t>
      </w:r>
    </w:p>
    <w:bookmarkEnd w:id="0"/>
    <w:tbl>
      <w:tblPr>
        <w:tblW w:w="7761" w:type="dxa"/>
        <w:jc w:val="center"/>
        <w:tblInd w:w="273" w:type="dxa"/>
        <w:shd w:val="clear"/>
        <w:tblLayout w:type="fixed"/>
        <w:tblCellMar>
          <w:top w:w="0" w:type="dxa"/>
          <w:left w:w="0" w:type="dxa"/>
          <w:bottom w:w="0" w:type="dxa"/>
          <w:right w:w="0" w:type="dxa"/>
        </w:tblCellMar>
      </w:tblPr>
      <w:tblGrid>
        <w:gridCol w:w="990"/>
        <w:gridCol w:w="1542"/>
        <w:gridCol w:w="1655"/>
        <w:gridCol w:w="3574"/>
      </w:tblGrid>
      <w:tr>
        <w:tblPrEx>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b/>
                <w:color w:val="333333"/>
                <w:sz w:val="17"/>
                <w:szCs w:val="17"/>
              </w:rPr>
              <w:t>岗位编号</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b/>
                <w:color w:val="333333"/>
                <w:sz w:val="17"/>
                <w:szCs w:val="17"/>
              </w:rPr>
              <w:t>部门</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b/>
                <w:color w:val="333333"/>
                <w:sz w:val="17"/>
                <w:szCs w:val="17"/>
              </w:rPr>
              <w:t>岗位</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b/>
                <w:color w:val="333333"/>
                <w:sz w:val="17"/>
                <w:szCs w:val="17"/>
              </w:rPr>
              <w:t>技能（专业）考试大纲</w:t>
            </w:r>
          </w:p>
        </w:tc>
      </w:tr>
      <w:tr>
        <w:tblPrEx>
          <w:shd w:val="clear"/>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17113011</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体育教育训练一系</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专技岗（田径教师）</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1.技术评定考核内容：（占比：50%）</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1) 背向原地推铅球；</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2) 引枪技术+原地掷标枪。</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2.成绩达标考核内容：（占比：50%）</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1) 背向滑步推铅球完整技术；</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2) 全程助跑掷标枪技术。</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3.兼项技术、技能展示内容（完成情况只做参考）</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1) 背越式跳高；</w:t>
            </w:r>
          </w:p>
          <w:p>
            <w:pPr>
              <w:pStyle w:val="2"/>
              <w:keepNext w:val="0"/>
              <w:keepLines w:val="0"/>
              <w:widowControl/>
              <w:suppressLineNumbers w:val="0"/>
              <w:spacing w:before="0" w:beforeAutospacing="0" w:after="0" w:afterAutospacing="0" w:line="288" w:lineRule="atLeast"/>
              <w:ind w:left="0" w:right="0" w:firstLine="0"/>
              <w:rPr>
                <w:sz w:val="17"/>
                <w:szCs w:val="17"/>
              </w:rPr>
            </w:pPr>
            <w:r>
              <w:rPr>
                <w:rFonts w:hint="eastAsia" w:ascii="宋体" w:hAnsi="宋体" w:eastAsia="宋体" w:cs="宋体"/>
                <w:color w:val="333333"/>
                <w:sz w:val="17"/>
                <w:szCs w:val="17"/>
              </w:rPr>
              <w:t>2) 短程跨栏（3-5个栏架）；</w:t>
            </w:r>
          </w:p>
        </w:tc>
      </w:tr>
      <w:tr>
        <w:tblPrEx>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17113016</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财务处</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专技岗（会计）</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left"/>
              <w:rPr>
                <w:sz w:val="17"/>
                <w:szCs w:val="17"/>
              </w:rPr>
            </w:pPr>
            <w:r>
              <w:rPr>
                <w:rFonts w:hint="eastAsia" w:ascii="宋体" w:hAnsi="宋体" w:eastAsia="宋体" w:cs="宋体"/>
                <w:color w:val="333333"/>
                <w:sz w:val="17"/>
                <w:szCs w:val="17"/>
              </w:rPr>
              <w:t>会计专业能力测试，主要测试考生对应聘会计岗位相关基础知识和技能的了解掌握程度与运用能力，以及适应岗位要求的基本素质和能力要素。</w:t>
            </w:r>
          </w:p>
          <w:p>
            <w:pPr>
              <w:pStyle w:val="2"/>
              <w:keepNext w:val="0"/>
              <w:keepLines w:val="0"/>
              <w:widowControl/>
              <w:suppressLineNumbers w:val="0"/>
              <w:spacing w:before="0" w:beforeAutospacing="0" w:after="0" w:afterAutospacing="0" w:line="288" w:lineRule="atLeast"/>
              <w:ind w:left="0" w:right="0" w:firstLine="0"/>
              <w:jc w:val="left"/>
              <w:rPr>
                <w:sz w:val="17"/>
                <w:szCs w:val="17"/>
              </w:rPr>
            </w:pPr>
            <w:r>
              <w:rPr>
                <w:rFonts w:hint="eastAsia" w:ascii="宋体" w:hAnsi="宋体" w:eastAsia="宋体" w:cs="宋体"/>
                <w:color w:val="333333"/>
                <w:sz w:val="17"/>
                <w:szCs w:val="17"/>
              </w:rPr>
              <w:t>会计岗位主要测查应考者从事高校会计工作应具备的会计学理论、高等学校会计制度、高等学校财务制度、财务管理、高等学校所涉及的税务相关知识。</w:t>
            </w:r>
          </w:p>
        </w:tc>
      </w:tr>
      <w:tr>
        <w:tblPrEx>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17113017</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学生处</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专技岗</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left"/>
              <w:rPr>
                <w:sz w:val="17"/>
                <w:szCs w:val="17"/>
              </w:rPr>
            </w:pPr>
            <w:r>
              <w:rPr>
                <w:rFonts w:hint="eastAsia" w:ascii="宋体" w:hAnsi="宋体" w:eastAsia="宋体" w:cs="宋体"/>
                <w:color w:val="333333"/>
                <w:sz w:val="17"/>
                <w:szCs w:val="17"/>
              </w:rPr>
              <w:t>主要测查从事高校辅导员工作应具备的基本常识和技能。包括国家和天津市针对高校和大学生的系列文件和讲话精神、大学生思想政治教育、高校学生管理、学生党建、心理健康教育、班级活动、创新创业教育与大学生职业规划、辅导员基本素质要求、有关工作实际案例分析等内容。</w:t>
            </w:r>
          </w:p>
        </w:tc>
      </w:tr>
      <w:tr>
        <w:tblPrEx>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17113018</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院办公室</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专技岗</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left"/>
              <w:rPr>
                <w:sz w:val="17"/>
                <w:szCs w:val="17"/>
              </w:rPr>
            </w:pPr>
            <w:r>
              <w:rPr>
                <w:rFonts w:hint="eastAsia" w:ascii="宋体" w:hAnsi="宋体" w:eastAsia="宋体" w:cs="宋体"/>
                <w:color w:val="333333"/>
                <w:sz w:val="17"/>
                <w:szCs w:val="17"/>
              </w:rPr>
              <w:t>主要测查从事高校档案管理工作应具备的基本常识和技能。基本常识包括档案学基础理论知识，与高校档案工作相关的档案法律、法规、规章与标准等方面的内容；技能主要包括从事高校档案行政管理与收集、整理、提供利用、信息化建设等业务的能力。</w:t>
            </w:r>
          </w:p>
        </w:tc>
      </w:tr>
      <w:tr>
        <w:tblPrEx>
          <w:tblLayout w:type="fixed"/>
          <w:tblCellMar>
            <w:top w:w="0" w:type="dxa"/>
            <w:left w:w="0" w:type="dxa"/>
            <w:bottom w:w="0" w:type="dxa"/>
            <w:right w:w="0" w:type="dxa"/>
          </w:tblCellMar>
        </w:tblPrEx>
        <w:trPr>
          <w:jc w:val="center"/>
        </w:trPr>
        <w:tc>
          <w:tcPr>
            <w:tcW w:w="99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17113019</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教务处</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center"/>
              <w:rPr>
                <w:sz w:val="17"/>
                <w:szCs w:val="17"/>
              </w:rPr>
            </w:pPr>
            <w:r>
              <w:rPr>
                <w:rFonts w:hint="eastAsia" w:ascii="宋体" w:hAnsi="宋体" w:eastAsia="宋体" w:cs="宋体"/>
                <w:color w:val="333333"/>
                <w:sz w:val="17"/>
                <w:szCs w:val="17"/>
              </w:rPr>
              <w:t>专技岗</w:t>
            </w:r>
          </w:p>
        </w:tc>
        <w:tc>
          <w:tcPr>
            <w:tcW w:w="357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88" w:lineRule="atLeast"/>
              <w:ind w:left="0" w:right="0" w:firstLine="0"/>
              <w:jc w:val="left"/>
              <w:rPr>
                <w:sz w:val="17"/>
                <w:szCs w:val="17"/>
              </w:rPr>
            </w:pPr>
            <w:r>
              <w:rPr>
                <w:rFonts w:hint="eastAsia" w:ascii="宋体" w:hAnsi="宋体" w:eastAsia="宋体" w:cs="宋体"/>
                <w:color w:val="333333"/>
                <w:sz w:val="17"/>
                <w:szCs w:val="17"/>
              </w:rPr>
              <w:t>主要测查应考者从事高校教育管理工作应具备的基本常识和写作水平。基本常识包括政治、经济、社会、教育、文化、法律、科技、历史及管理等方面的内容；写作是测查应考者对给定资料的阅读理解能力、文字表达能力、综合分析能力和问题解决能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1603D"/>
    <w:rsid w:val="1D816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2017-05-17T05:57:00Z</dcterms:created>
  <dc:creator>ASUS</dc:creator>
  <cp:lastModifiedBy>ASUS</cp:lastModifiedBy>
  <dcterms:modified xsi:type="dcterms:W3CDTF">2017-05-17T05:58:17Z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