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</w:pPr>
      <w:r>
        <w:rPr>
          <w:rStyle w:val="4"/>
          <w:rFonts w:ascii="方正黑体_GBK" w:hAnsi="方正黑体_GBK" w:eastAsia="方正黑体_GBK" w:cs="方正黑体_GBK"/>
          <w:b/>
          <w:sz w:val="32"/>
          <w:szCs w:val="32"/>
          <w:shd w:val="clear" w:fill="FFFFFF"/>
        </w:rPr>
        <w:t>招聘安排</w:t>
      </w:r>
    </w:p>
    <w:tbl>
      <w:tblPr>
        <w:tblW w:w="82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920"/>
        <w:gridCol w:w="1080"/>
        <w:gridCol w:w="1780"/>
        <w:gridCol w:w="24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4C4C4C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4C4C4C"/>
                <w:sz w:val="20"/>
                <w:szCs w:val="20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4C4C4C"/>
                <w:sz w:val="20"/>
                <w:szCs w:val="20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4C4C4C"/>
                <w:sz w:val="20"/>
                <w:szCs w:val="20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4C4C4C"/>
                <w:sz w:val="20"/>
                <w:szCs w:val="20"/>
                <w:bdr w:val="none" w:color="auto" w:sz="0" w:space="0"/>
                <w:lang w:val="en-US" w:eastAsia="zh-CN" w:bidi="ar"/>
              </w:rPr>
              <w:t>教室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华北电力大学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2017-10-11上午</w:t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9：00-11:00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主B101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2017-10-11下午14:30-16:30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九教东201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中国科学院大学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2017-10-12下午</w:t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14:00-15:00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中关村教学楼S104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2017-10-13上午10:30-12:00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卫津路校区23-408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2017-10-16下午</w:t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14:00-16:00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清华大学西主楼3区102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2017-10-20上午</w:t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9:00-12:00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八号楼2楼多功能厅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武汉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2017-10-20下午</w:t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14:00-16:00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电气工程学院报告厅，（工学部3教学楼）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2017-10-25上午</w:t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9:30-11:30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铁生馆200号宣讲厅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2017-10-26下午</w:t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14:00-16:00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四牌楼校区动力楼316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西安交通大学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西安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2017-10-27下午14:00-16:00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东一楼225会议室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2017-10-29上午</w:t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9:30-11:30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玉泉永谦活动中心第二报告厅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2017-11-2上午</w:t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9:30-11:30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基础教学楼B座104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2017-11-3下午</w:t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14:30-16:00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重庆大学A区，主教学楼107教室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哈尔滨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2017-11-10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待定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C5EF0"/>
    <w:rsid w:val="47CC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2017-10-12T06:02:00Z</dcterms:created>
  <dc:creator>ASUS</dc:creator>
  <cp:lastModifiedBy>ASUS</cp:lastModifiedBy>
  <dcterms:modified xsi:type="dcterms:W3CDTF">2017-10-12T06:03:02Z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