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shd w:val="clear" w:fill="FFFFFF"/>
        </w:rPr>
        <w:t>2019年上半年</w:t>
      </w: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shd w:val="clear" w:fill="FFFFFF"/>
        </w:rPr>
        <w:t>中国社会科学院亚太与全球战略研究院拟聘科研岗位人员公示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1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632"/>
        <w:gridCol w:w="1067"/>
        <w:gridCol w:w="1577"/>
        <w:gridCol w:w="23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6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1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姓 名</w:t>
            </w:r>
          </w:p>
        </w:tc>
        <w:tc>
          <w:tcPr>
            <w:tcW w:w="15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23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专业十级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 乐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国际关系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专业十级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超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专业十级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岳圣淞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595757"/>
                <w:spacing w:val="1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外交学院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2224A"/>
    <w:rsid w:val="5E022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2019-01-29T06:42:00Z</dcterms:created>
  <dc:creator>ASUS</dc:creator>
  <cp:lastModifiedBy>ASUS</cp:lastModifiedBy>
  <dcterms:modified xsi:type="dcterms:W3CDTF">2019-01-29T06:42:21Z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