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kern w:val="0"/>
          <w:sz w:val="32"/>
          <w:szCs w:val="32"/>
        </w:rPr>
      </w:pPr>
    </w:p>
    <w:p>
      <w:pPr>
        <w:widowControl/>
        <w:jc w:val="left"/>
        <w:rPr>
          <w:rFonts w:ascii="仿宋" w:hAnsi="仿宋" w:eastAsia="仿宋" w:cs="宋体"/>
          <w:kern w:val="0"/>
          <w:sz w:val="28"/>
          <w:szCs w:val="28"/>
        </w:rPr>
      </w:pPr>
      <w:r>
        <w:rPr>
          <w:rFonts w:hint="eastAsia" w:ascii="仿宋" w:hAnsi="仿宋" w:eastAsia="仿宋" w:cs="宋体"/>
          <w:kern w:val="0"/>
          <w:sz w:val="28"/>
          <w:szCs w:val="28"/>
        </w:rPr>
        <w:t>附件1：</w:t>
      </w:r>
      <w:bookmarkStart w:id="0" w:name="_GoBack"/>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lang w:val="en-US" w:eastAsia="zh-CN"/>
        </w:rPr>
        <w:t>2</w:t>
      </w:r>
      <w:r>
        <w:rPr>
          <w:rFonts w:hint="eastAsia" w:ascii="仿宋" w:hAnsi="仿宋" w:eastAsia="仿宋"/>
          <w:sz w:val="28"/>
          <w:szCs w:val="28"/>
        </w:rPr>
        <w:t>年天津市事业单位工作人员培训公共科目</w:t>
      </w:r>
      <w:r>
        <w:rPr>
          <w:rFonts w:hint="eastAsia" w:ascii="仿宋" w:hAnsi="仿宋" w:eastAsia="仿宋"/>
          <w:color w:val="000000" w:themeColor="text1"/>
          <w:sz w:val="28"/>
          <w:szCs w:val="28"/>
          <w14:textFill>
            <w14:solidFill>
              <w14:schemeClr w14:val="tx1"/>
            </w14:solidFill>
          </w14:textFill>
        </w:rPr>
        <w:t>参考</w:t>
      </w:r>
      <w:r>
        <w:rPr>
          <w:rFonts w:hint="eastAsia" w:ascii="仿宋" w:hAnsi="仿宋" w:eastAsia="仿宋"/>
          <w:sz w:val="28"/>
          <w:szCs w:val="28"/>
        </w:rPr>
        <w:t>目录</w:t>
      </w:r>
      <w:bookmarkEnd w:id="0"/>
      <w:r>
        <w:rPr>
          <w:rFonts w:ascii="仿宋" w:hAnsi="仿宋" w:eastAsia="仿宋" w:cs="宋体"/>
          <w:kern w:val="0"/>
          <w:sz w:val="28"/>
          <w:szCs w:val="28"/>
        </w:rPr>
        <w:t xml:space="preserve"> </w:t>
      </w:r>
    </w:p>
    <w:tbl>
      <w:tblPr>
        <w:tblStyle w:val="2"/>
        <w:tblW w:w="9096" w:type="dxa"/>
        <w:tblInd w:w="0" w:type="dxa"/>
        <w:shd w:val="clear" w:color="auto" w:fill="auto"/>
        <w:tblLayout w:type="autofit"/>
        <w:tblCellMar>
          <w:top w:w="0" w:type="dxa"/>
          <w:left w:w="0" w:type="dxa"/>
          <w:bottom w:w="0" w:type="dxa"/>
          <w:right w:w="0" w:type="dxa"/>
        </w:tblCellMar>
      </w:tblPr>
      <w:tblGrid>
        <w:gridCol w:w="795"/>
        <w:gridCol w:w="3795"/>
        <w:gridCol w:w="3780"/>
        <w:gridCol w:w="726"/>
      </w:tblGrid>
      <w:tr>
        <w:tblPrEx>
          <w:shd w:val="clear" w:color="auto" w:fill="auto"/>
          <w:tblCellMar>
            <w:top w:w="0" w:type="dxa"/>
            <w:left w:w="0" w:type="dxa"/>
            <w:bottom w:w="0" w:type="dxa"/>
            <w:right w:w="0" w:type="dxa"/>
          </w:tblCellMar>
        </w:tblPrEx>
        <w:trPr>
          <w:trHeight w:val="940" w:hRule="atLeast"/>
        </w:trPr>
        <w:tc>
          <w:tcPr>
            <w:tcW w:w="9096" w:type="dxa"/>
            <w:gridSpan w:val="4"/>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《2022年天津市事业单位工作人员培训公共科目参考目录》                                  （共30门，66学时）</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single" w:color="000000" w:sz="4" w:space="0"/>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专题一 时政热点（7门，17课时）</w:t>
            </w:r>
          </w:p>
        </w:tc>
      </w:tr>
      <w:tr>
        <w:tblPrEx>
          <w:shd w:val="clear" w:color="auto" w:fill="auto"/>
          <w:tblCellMar>
            <w:top w:w="0" w:type="dxa"/>
            <w:left w:w="0" w:type="dxa"/>
            <w:bottom w:w="0" w:type="dxa"/>
            <w:right w:w="0" w:type="dxa"/>
          </w:tblCellMar>
        </w:tblPrEx>
        <w:trPr>
          <w:trHeight w:val="5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学习贯彻党的十九届六中全会精神</w:t>
            </w:r>
          </w:p>
        </w:tc>
        <w:tc>
          <w:tcPr>
            <w:tcW w:w="3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郭丹，人民日报社责任编辑，研究员，法学博士，政治学博士后</w:t>
            </w:r>
          </w:p>
        </w:tc>
        <w:tc>
          <w:tcPr>
            <w:tcW w:w="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6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“十四五”规划和2035年远景目标纲要的新变化与新提法</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冯颜利,中国社会科学院哲学研究所副所长、研究员、博导</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全面实施乡村振兴战略</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石国亮,首都师范大学马克思主义学院教授、博士生导师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大力推进低碳发展，实现碳达峰碳中和的目标</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郭兆晖,中央党校（国家行政学院）社会和生态文明教研部副主任、副教授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6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民法典与法治思维能力建设</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杨小军,中央党校（国家行政学院）政法教研部副主任、教授、博导</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9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中国共产党百年奋斗历程与启示——学习贯彻习近平总书记“七一”讲话精神</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张克，清华大学管理学博士，《党校公开课》主讲人，中共中央党校（国家行政学院）习近平新时代中国特色社会主义思想研究中心研究员。</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8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在意识形态的重大认知上向习近平为核心的党中央看齐</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侯惠勤，教授，博士生导师。中国社科院国家文化安全与意识形态建设研究中心主任、马克思主义研究院原党委书记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single" w:color="000000" w:sz="4" w:space="0"/>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专题二 事业单位政策解读（3门，8课时）</w:t>
            </w:r>
          </w:p>
        </w:tc>
      </w:tr>
      <w:tr>
        <w:tblPrEx>
          <w:shd w:val="clear" w:color="auto" w:fill="auto"/>
          <w:tblCellMar>
            <w:top w:w="0" w:type="dxa"/>
            <w:left w:w="0" w:type="dxa"/>
            <w:bottom w:w="0" w:type="dxa"/>
            <w:right w:w="0" w:type="dxa"/>
          </w:tblCellMar>
        </w:tblPrEx>
        <w:trPr>
          <w:trHeight w:val="5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6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事业单位人事政策法理与实践</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李建忠，中国人事科学研究院副院长</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8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《事业单位工作人员奖励规定》解读</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任文硕，中国人民大学劳动人事学院人力资源管理博士，北京大学政府管理学院公共管理流动站博士后</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11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《事业单位人事管理回避规定》解读</w:t>
            </w:r>
          </w:p>
        </w:tc>
        <w:tc>
          <w:tcPr>
            <w:tcW w:w="3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李建忠，中国人事科学研究院副院长、研究员，《中国人事科学》总编辑，中国人才研究会常务理事，人力资源和社会保障部人力资源统计分析咨询专家，公立医院人事薪酬制度改革指导专家。</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nil"/>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专题三 法律法规（4门，11课时）</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78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强化保密教育 推动保密工作——《中华人民共和国保守国家秘密法》解读</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杨小军,中央党校（国家行政学院）政法教研部副主任、教授、博导</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72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《中华人民共和国民法典》的创新性</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李雅云,中央党校（国家行政学院）政法教研部教授、博导</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8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《职称评审管理暂行规定》解读</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范巍，中国人事科学研究院学术委员会委员，企业人事管理研究室主任、职业标准实验室负责人，研究员。</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74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《安全生产法》（2021年修正版）解读</w:t>
            </w:r>
          </w:p>
        </w:tc>
        <w:tc>
          <w:tcPr>
            <w:tcW w:w="3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林鸿潮，中国政法大学钱端升讲座教授，应急管理法律与政策研究基地主任，博士生导师，法学博士。</w:t>
            </w:r>
          </w:p>
        </w:tc>
        <w:tc>
          <w:tcPr>
            <w:tcW w:w="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nil"/>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专题四 行为规范与纪律要求（4门，9课时）</w:t>
            </w:r>
          </w:p>
        </w:tc>
      </w:tr>
      <w:tr>
        <w:tblPrEx>
          <w:shd w:val="clear" w:color="auto" w:fill="auto"/>
          <w:tblCellMar>
            <w:top w:w="0" w:type="dxa"/>
            <w:left w:w="0" w:type="dxa"/>
            <w:bottom w:w="0" w:type="dxa"/>
            <w:right w:w="0" w:type="dxa"/>
          </w:tblCellMar>
        </w:tblPrEx>
        <w:trPr>
          <w:trHeight w:val="5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799"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《中华人民共和国公职人员政务处分法》亮点读解和实施细则</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任文硕，中国人事科学研究院公务员管理研究室副主任，研究员。</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106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档案管理违法违纪法律责任解析及风险防范</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勤华，律师，北京市惠诚律师事务所管理委员会执行主任、高级合伙人，现担任北京市住房和城乡建设委员会、北京市市场监督管理局、北京市档案馆、北京市住房贷款担保中心等首都地区四十多家行政事业机关政府法律顾问。</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78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加强保密要害部门部位管理</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孙宝云，北京电子科技学院教授，北京大学政治学博士</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深入推进反腐斗争，严惩重点领域问题</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杨小军，中央党校（国家行政学院）政法部教授、博士生导师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single" w:color="000000" w:sz="4" w:space="0"/>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专题五 爱国奉献精神（4门，5课时）</w:t>
            </w:r>
          </w:p>
        </w:tc>
      </w:tr>
      <w:tr>
        <w:tblPrEx>
          <w:shd w:val="clear" w:color="auto" w:fill="auto"/>
          <w:tblCellMar>
            <w:top w:w="0" w:type="dxa"/>
            <w:left w:w="0" w:type="dxa"/>
            <w:bottom w:w="0" w:type="dxa"/>
            <w:right w:w="0" w:type="dxa"/>
          </w:tblCellMar>
        </w:tblPrEx>
        <w:trPr>
          <w:trHeight w:val="5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艰苦奋斗：永葆共产党人的政治本色</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洪向华,中央党校（国家行政学院）科研部副巡视员、教授、博导</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对党忠诚是共产党人的首要品质</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杨润聪,中国地质大学马克思主义学院讲师、中央党校（国家行政学院）博士</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敢于斗争：勇于依靠斗争去赢得未来</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洪向华,中央党校（国家行政学院）科研部副巡视员、教授、博导</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英烈精神解读及其在新时代的传承和弘扬</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李松林，首都师范大学马克思主义学院原院长、教授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600" w:hRule="atLeast"/>
        </w:trPr>
        <w:tc>
          <w:tcPr>
            <w:tcW w:w="9096" w:type="dxa"/>
            <w:gridSpan w:val="4"/>
            <w:tcBorders>
              <w:top w:val="single" w:color="000000" w:sz="4" w:space="0"/>
              <w:left w:val="single" w:color="000000" w:sz="4" w:space="0"/>
              <w:bottom w:val="single" w:color="000000" w:sz="4" w:space="0"/>
              <w:right w:val="nil"/>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专题六 工作能力提升（8门，16课时）</w:t>
            </w:r>
          </w:p>
        </w:tc>
      </w:tr>
      <w:tr>
        <w:tblPrEx>
          <w:shd w:val="clear" w:color="auto" w:fill="auto"/>
          <w:tblCellMar>
            <w:top w:w="0" w:type="dxa"/>
            <w:left w:w="0" w:type="dxa"/>
            <w:bottom w:w="0" w:type="dxa"/>
            <w:right w:w="0"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课程名称</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主讲人</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课时</w:t>
            </w:r>
          </w:p>
        </w:tc>
      </w:tr>
      <w:tr>
        <w:tblPrEx>
          <w:shd w:val="clear" w:color="auto" w:fill="auto"/>
          <w:tblCellMar>
            <w:top w:w="0" w:type="dxa"/>
            <w:left w:w="0" w:type="dxa"/>
            <w:bottom w:w="0" w:type="dxa"/>
            <w:right w:w="0" w:type="dxa"/>
          </w:tblCellMar>
        </w:tblPrEx>
        <w:trPr>
          <w:trHeight w:val="9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提高突发事件应对能力</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钟开斌，中共中央党校（国家行政学院）应急管理教研部案例教研室主任，教授、博士生导师，管理学博士，创新工程首席专家。</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82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舆情防范与有效工作机制建设</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王洪波，人民网舆情数据中心主任舆情分析师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5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从重大事件看网络安全形势</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任  望，副研究员，中国信息安全测评中心系统评估处副处长 </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5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努力提高新时代办文质量和水平</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叶黔达，中国写作学会公文写作专委会原副会长</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5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行政沟通与协调</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刘耀臣，天津行政学院教授</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1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清晰有效--结构化思维与表达</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雷，11年央企团队管理实战经验、企业中层管理实战专家、中国矿业大学特邀讲师、情景式沙盘引导教学模式推广者、中国建筑材料联合会（国资委）金牌讲师、原山东能源集团（世界500强）企业大学副校长、原中国建材商学院执行院长、世纪通康集团执行总经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12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职场EXCEL大咖封神之路（上）</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刘凌峰，20年Office培训实战经验，资深实战Office专家，微软Office金牌讲师，微软全球认证讲师(MCT)，微软中国“Office讲师面试专家”，工信部认证高级项目管理师、商务部“商务培训网”特约讲师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职场EXCEL大咖封神之路（下）</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刘凌峰，20年Office培训实战经验，资深实战Office专家，微软Office金牌讲师，微软全球认证讲师(MCT)，微软中国“Office讲师面试专家”，工信部认证高级项目管理师、商务部“商务培训网”特约讲师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bl>
    <w:p>
      <w:pPr>
        <w:widowControl/>
        <w:jc w:val="left"/>
        <w:rPr>
          <w:rFonts w:ascii="仿宋" w:hAnsi="仿宋" w:eastAsia="仿宋" w:cs="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3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2022-02-16T03:04:37Z</dcterms:created>
  <dc:creator>pc</dc:creator>
  <cp:lastModifiedBy>侯越初</cp:lastModifiedBy>
  <dcterms:modified xsi:type="dcterms:W3CDTF">2022-02-16T03:05:04Z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43D6150D5C53420CABEA2AE7FE909B3E</vt:lpwstr>
  </property>
</Properties>
</file>