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Regular" w:hAnsi="Times New Roman Regular" w:eastAsia="方正小标宋简体" w:cs="Times New Roman Regular"/>
          <w:sz w:val="36"/>
          <w:szCs w:val="36"/>
        </w:rPr>
      </w:pPr>
      <w:r>
        <w:rPr>
          <w:rFonts w:hint="eastAsia" w:ascii="方正小标宋简体" w:eastAsia="方正小标宋简体"/>
          <w:sz w:val="36"/>
          <w:szCs w:val="36"/>
          <w:highlight w:val="none"/>
        </w:rPr>
        <w:t>202</w:t>
      </w:r>
      <w:r>
        <w:rPr>
          <w:rFonts w:hint="eastAsia" w:ascii="方正小标宋简体" w:eastAsia="方正小标宋简体"/>
          <w:sz w:val="36"/>
          <w:szCs w:val="36"/>
          <w:highlight w:val="none"/>
          <w:lang w:val="en-US" w:eastAsia="zh-CN"/>
        </w:rPr>
        <w:t>2</w:t>
      </w:r>
      <w:r>
        <w:rPr>
          <w:rFonts w:hint="eastAsia" w:ascii="方正小标宋简体" w:eastAsia="方正小标宋简体"/>
          <w:sz w:val="36"/>
          <w:szCs w:val="36"/>
          <w:highlight w:val="none"/>
        </w:rPr>
        <w:t>年</w:t>
      </w:r>
      <w:r>
        <w:rPr>
          <w:rFonts w:hint="eastAsia" w:ascii="方正小标宋简体" w:eastAsia="方正小标宋简体"/>
          <w:sz w:val="36"/>
          <w:szCs w:val="36"/>
          <w:highlight w:val="none"/>
          <w:lang w:eastAsia="zh-CN"/>
        </w:rPr>
        <w:t>天津市宁河区卫健系统</w:t>
      </w:r>
      <w:r>
        <w:rPr>
          <w:rFonts w:hint="eastAsia" w:ascii="方正小标宋简体" w:eastAsia="方正小标宋简体"/>
          <w:sz w:val="36"/>
          <w:szCs w:val="36"/>
          <w:highlight w:val="none"/>
        </w:rPr>
        <w:t>公开招聘</w:t>
      </w:r>
      <w:r>
        <w:rPr>
          <w:rFonts w:hint="eastAsia" w:ascii="方正小标宋简体" w:eastAsia="方正小标宋简体"/>
          <w:sz w:val="36"/>
          <w:szCs w:val="36"/>
          <w:highlight w:val="none"/>
          <w:lang w:eastAsia="zh-CN"/>
        </w:rPr>
        <w:t>专业技术</w:t>
      </w:r>
      <w:r>
        <w:rPr>
          <w:rFonts w:hint="eastAsia" w:ascii="方正小标宋简体" w:eastAsia="方正小标宋简体"/>
          <w:sz w:val="36"/>
          <w:szCs w:val="36"/>
          <w:highlight w:val="none"/>
        </w:rPr>
        <w:t>人员</w:t>
      </w:r>
      <w:r>
        <w:rPr>
          <w:rFonts w:hint="eastAsia" w:ascii="方正小标宋简体" w:eastAsia="方正小标宋简体"/>
          <w:sz w:val="36"/>
          <w:szCs w:val="36"/>
          <w:highlight w:val="none"/>
          <w:lang w:eastAsia="zh-CN"/>
        </w:rPr>
        <w:t>笔</w:t>
      </w:r>
      <w:r>
        <w:rPr>
          <w:rFonts w:hint="eastAsia" w:ascii="方正小标宋简体" w:eastAsia="方正小标宋简体"/>
          <w:sz w:val="36"/>
          <w:szCs w:val="36"/>
          <w:highlight w:val="none"/>
        </w:rPr>
        <w:t>试</w:t>
      </w:r>
      <w:r>
        <w:rPr>
          <w:rFonts w:ascii="Times New Roman Regular" w:hAnsi="Times New Roman Regular" w:eastAsia="方正小标宋简体" w:cs="Times New Roman Regular"/>
          <w:sz w:val="36"/>
          <w:szCs w:val="36"/>
        </w:rPr>
        <w:t>考生疫情防控须知</w:t>
      </w:r>
    </w:p>
    <w:p>
      <w:pPr>
        <w:spacing w:line="600" w:lineRule="exact"/>
        <w:jc w:val="center"/>
        <w:rPr>
          <w:rFonts w:ascii="Times New Roman Regular" w:hAnsi="Times New Roman Regular" w:eastAsia="方正小标宋简体" w:cs="Times New Roman Regular"/>
          <w:sz w:val="36"/>
          <w:szCs w:val="36"/>
        </w:rPr>
      </w:pPr>
    </w:p>
    <w:p>
      <w:pPr>
        <w:pStyle w:val="4"/>
        <w:snapToGrid w:val="0"/>
        <w:spacing w:line="600" w:lineRule="exact"/>
        <w:jc w:val="both"/>
        <w:rPr>
          <w:rFonts w:ascii="Times New Roman Regular" w:hAnsi="Times New Roman Regular" w:eastAsia="方正小标宋简体" w:cs="Times New Roman Regular"/>
          <w:sz w:val="32"/>
          <w:szCs w:val="32"/>
        </w:rPr>
      </w:pPr>
      <w:r>
        <w:rPr>
          <w:rFonts w:hint="eastAsia" w:ascii="Times New Roman Regular" w:hAnsi="Times New Roman Regular" w:eastAsia="仿宋_GB2312" w:cs="Times New Roman Regular"/>
          <w:sz w:val="32"/>
          <w:szCs w:val="32"/>
          <w:lang w:val="en-US" w:eastAsia="zh-CN"/>
        </w:rPr>
        <w:t xml:space="preserve">   </w:t>
      </w:r>
      <w:r>
        <w:rPr>
          <w:rFonts w:hint="eastAsia" w:ascii="宋体" w:hAnsi="宋体" w:eastAsia="仿宋_GB2312" w:cs="仿宋_GB2312"/>
          <w:color w:val="auto"/>
          <w:kern w:val="2"/>
          <w:sz w:val="34"/>
          <w:szCs w:val="34"/>
          <w:highlight w:val="none"/>
          <w:lang w:val="en-US" w:eastAsia="zh-CN" w:bidi="ar-SA"/>
        </w:rPr>
        <w:t xml:space="preserve"> 根据国家和天津市新冠肺炎疫情防控工作相关要求，2022年天津市宁河区卫健系统公开招聘考试将严格落实各项疫情防控举措，所有考生均需符合疫情防控的健康要求，方可参加考试。现将有关事项提示如下，请广大考生主动配合，并按要求遵照执行：</w:t>
      </w:r>
    </w:p>
    <w:p>
      <w:pPr>
        <w:snapToGrid w:val="0"/>
        <w:spacing w:line="600" w:lineRule="exact"/>
        <w:ind w:firstLine="640" w:firstLineChars="200"/>
        <w:rPr>
          <w:rFonts w:hint="eastAsia" w:ascii="宋体" w:hAnsi="宋体" w:eastAsia="仿宋_GB2312" w:cs="仿宋_GB2312"/>
          <w:color w:val="auto"/>
          <w:kern w:val="2"/>
          <w:sz w:val="34"/>
          <w:szCs w:val="34"/>
          <w:highlight w:val="none"/>
          <w:lang w:val="en-US" w:eastAsia="zh-CN" w:bidi="ar-SA"/>
        </w:rPr>
      </w:pPr>
      <w:r>
        <w:rPr>
          <w:rFonts w:hint="eastAsia" w:ascii="Times New Roman Regular" w:hAnsi="Times New Roman Regular" w:eastAsia="黑体" w:cs="Times New Roman Regular"/>
          <w:sz w:val="32"/>
          <w:szCs w:val="32"/>
          <w:lang w:val="en-US" w:eastAsia="zh-CN"/>
        </w:rPr>
        <w:t xml:space="preserve"> 一、</w:t>
      </w:r>
      <w:r>
        <w:rPr>
          <w:rFonts w:ascii="Times New Roman Regular" w:hAnsi="Times New Roman Regular" w:eastAsia="黑体" w:cs="Times New Roman Regular"/>
          <w:sz w:val="32"/>
          <w:szCs w:val="32"/>
          <w:lang w:val="en-US" w:eastAsia="zh-CN"/>
        </w:rPr>
        <w:t>如实申报健康信息</w:t>
      </w:r>
      <w:r>
        <w:rPr>
          <w:rFonts w:ascii="Times New Roman Regular" w:hAnsi="Times New Roman Regular" w:eastAsia="黑体" w:cs="Times New Roman Regular"/>
          <w:sz w:val="32"/>
          <w:szCs w:val="32"/>
          <w:lang w:val="en-US" w:eastAsia="zh-CN"/>
        </w:rPr>
        <w:br w:type="textWrapping"/>
      </w:r>
      <w:r>
        <w:rPr>
          <w:rFonts w:ascii="Times New Roman Regular" w:hAnsi="Times New Roman Regular" w:eastAsia="黑体" w:cs="Times New Roman Regular"/>
          <w:sz w:val="32"/>
          <w:szCs w:val="32"/>
          <w:lang w:val="en-US" w:eastAsia="zh-CN"/>
        </w:rPr>
        <w:t xml:space="preserve">    </w:t>
      </w:r>
      <w:r>
        <w:rPr>
          <w:rFonts w:hint="eastAsia" w:ascii="Times New Roman Regular" w:hAnsi="Times New Roman Regular" w:eastAsia="黑体" w:cs="Times New Roman Regular"/>
          <w:sz w:val="32"/>
          <w:szCs w:val="32"/>
          <w:lang w:val="en-US" w:eastAsia="zh-CN"/>
        </w:rPr>
        <w:t xml:space="preserve"> </w:t>
      </w:r>
      <w:r>
        <w:rPr>
          <w:rFonts w:hint="eastAsia" w:ascii="宋体" w:hAnsi="宋体" w:eastAsia="仿宋_GB2312" w:cs="仿宋_GB2312"/>
          <w:color w:val="auto"/>
          <w:kern w:val="2"/>
          <w:sz w:val="34"/>
          <w:szCs w:val="34"/>
          <w:highlight w:val="none"/>
          <w:lang w:val="en-US" w:eastAsia="zh-CN" w:bidi="ar-SA"/>
        </w:rPr>
        <w:t>（一）考前7天（8月19日，下同）起，考生使用本人手机通过“支付宝”、“津心办”APP等渠道申领“天津健康码”，通过“通信行程卡”APP 、“支付宝”APP、微信小程序等渠道申领“通信大数据行程卡”，并需每日更新“天津健康码”和“通信大数据行程卡”。</w:t>
      </w:r>
    </w:p>
    <w:p>
      <w:pPr>
        <w:snapToGrid w:val="0"/>
        <w:spacing w:line="600" w:lineRule="exact"/>
        <w:ind w:firstLine="680" w:firstLineChars="200"/>
        <w:rPr>
          <w:rFonts w:hint="eastAsia" w:ascii="宋体" w:hAnsi="宋体" w:eastAsia="仿宋_GB2312" w:cs="仿宋_GB2312"/>
          <w:color w:val="auto"/>
          <w:kern w:val="2"/>
          <w:sz w:val="34"/>
          <w:szCs w:val="34"/>
          <w:highlight w:val="none"/>
          <w:lang w:val="en-US" w:eastAsia="zh-CN" w:bidi="ar-SA"/>
        </w:rPr>
      </w:pPr>
      <w:r>
        <w:rPr>
          <w:rFonts w:hint="eastAsia" w:ascii="宋体" w:hAnsi="宋体" w:eastAsia="仿宋_GB2312" w:cs="仿宋_GB2312"/>
          <w:color w:val="auto"/>
          <w:kern w:val="2"/>
          <w:sz w:val="34"/>
          <w:szCs w:val="34"/>
          <w:highlight w:val="none"/>
          <w:lang w:val="en-US" w:eastAsia="zh-CN" w:bidi="ar-SA"/>
        </w:rPr>
        <w:t>（二）考前7天起，考生每日须做好自我健康监测，并如实填写“安全考试承诺书”（登录“天津医学考试网”微信公众号，进入“相关信息”栏目下的“考生承诺”，选择考试项目按要求填写）。</w:t>
      </w:r>
    </w:p>
    <w:p>
      <w:pPr>
        <w:keepNext w:val="0"/>
        <w:keepLines w:val="0"/>
        <w:pageBreakBefore w:val="0"/>
        <w:kinsoku/>
        <w:wordWrap/>
        <w:overflowPunct/>
        <w:topLinePunct w:val="0"/>
        <w:bidi w:val="0"/>
        <w:spacing w:line="588" w:lineRule="exact"/>
        <w:ind w:firstLine="640" w:firstLineChars="200"/>
        <w:textAlignment w:val="auto"/>
        <w:rPr>
          <w:rFonts w:hint="eastAsia" w:ascii="宋体" w:hAnsi="宋体" w:eastAsia="仿宋_GB2312" w:cs="仿宋_GB2312"/>
          <w:color w:val="auto"/>
          <w:sz w:val="34"/>
          <w:szCs w:val="34"/>
          <w:highlight w:val="none"/>
        </w:rPr>
      </w:pPr>
      <w:r>
        <w:rPr>
          <w:rFonts w:ascii="Times New Roman Regular" w:hAnsi="Times New Roman Regular" w:eastAsia="黑体" w:cs="Times New Roman Regular"/>
          <w:sz w:val="32"/>
          <w:szCs w:val="32"/>
          <w:lang w:val="en-US" w:eastAsia="zh-CN"/>
        </w:rPr>
        <w:t>二、考生流调情况分类</w:t>
      </w:r>
      <w:r>
        <w:rPr>
          <w:rFonts w:ascii="Times New Roman Regular" w:hAnsi="Times New Roman Regular" w:eastAsia="黑体" w:cs="Times New Roman Regular"/>
          <w:sz w:val="32"/>
          <w:szCs w:val="32"/>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仿宋_GB2312" w:hAnsi="仿宋_GB2312" w:eastAsia="仿宋_GB2312" w:cs="仿宋_GB2312"/>
          <w:color w:val="auto"/>
          <w:sz w:val="32"/>
          <w:szCs w:val="32"/>
          <w:highlight w:val="none"/>
        </w:rPr>
        <w:t>（</w:t>
      </w:r>
      <w:r>
        <w:rPr>
          <w:rFonts w:hint="eastAsia" w:ascii="宋体" w:hAnsi="宋体" w:eastAsia="仿宋_GB2312" w:cs="仿宋_GB2312"/>
          <w:color w:val="auto"/>
          <w:sz w:val="34"/>
          <w:szCs w:val="34"/>
          <w:highlight w:val="none"/>
        </w:rPr>
        <w:t>一）第一类考生</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存在以下情形之一的为第一类考生：</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1.考试时为确诊病例或无症状感染者（含“复阳”患者）；</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2.考试时为疑似病例（含核酸检测阴性尚未排除人员）；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3.考试时未满隔离周期（仍处于隔离状态）的确诊病例、疑似病例、无症状感染者的密切接触者及其次级密切接触者；</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4.考试时未满7日隔离周期的入境人员（含港台地区），及不符合入境防疫标准的澳门入境人员（现行政策为无法提供入境前7日内核酸检测阴性证明者，根据国家政策动态调整）；</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5.考试前7日内具有境内中高风险区旅居史的人员；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6.考试时处于闭环管理状态或脱离岗位未满7日的高风险岗位从业人员；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7.通信大数据行程卡非“绿卡”人员；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8.天津健康码“红码”人员及参照“红码”管理人员；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9.其他需要实行集中隔离或居家隔离的人员。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（二）第二类考生</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存在以下情形之一的为第二类考生：</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1.考试时解除集中隔离未满3日的入境人员（含港台地区）及密切接触者；</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2.考试时为确诊病例、无症状感染者符合出院（舱）标准且离院（舱）后未满7日的人员；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3.其他考试时需要居家健康监测的人员（如涉疫场所暴露人员、时空伴随人员等）；</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4.天津健康码“黄码”人员及参照“黄码”管理人员。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（三）第三类考生</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考试时天津健康码“绿码”人员，但存在以下情形之一的为第三类考生：</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1.考试前7日内具有境内低风险区旅居史的人员；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2.考试前7日内具有澳门旅居史的人员，且符合入境防疫标准；</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3.考试时解除集中隔离未满7日的人员；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4.考试时为居家健康监测人员的同住人员；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5.考试前7日内具有发热、干咳、乏力、咽痛、嗅（味）觉减退、腹泻等可疑症状，经诊断排除新冠肺炎的人员；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6.考试时为确诊病例、无症状感染者符合出院（舱）标准且离院（舱）后未满28日的人员；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7.考试时为离开中高风险区域、重点疫情地区未满10日的人员；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8.其他需要核酸筛查的人员。</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（四）第四类考生</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非第一类、第二类、第三类考生为第四类考生。</w:t>
      </w:r>
    </w:p>
    <w:p>
      <w:pPr>
        <w:keepNext w:val="0"/>
        <w:keepLines w:val="0"/>
        <w:pageBreakBefore w:val="0"/>
        <w:kinsoku/>
        <w:wordWrap/>
        <w:overflowPunct/>
        <w:topLinePunct w:val="0"/>
        <w:bidi w:val="0"/>
        <w:spacing w:line="588" w:lineRule="exact"/>
        <w:ind w:firstLine="640" w:firstLineChars="200"/>
        <w:textAlignment w:val="auto"/>
        <w:rPr>
          <w:rFonts w:hint="eastAsia" w:ascii="宋体" w:hAnsi="宋体" w:eastAsia="仿宋_GB2312" w:cs="仿宋_GB2312"/>
          <w:color w:val="auto"/>
          <w:sz w:val="34"/>
          <w:szCs w:val="34"/>
          <w:highlight w:val="none"/>
          <w:lang w:val="en-US" w:eastAsia="zh-CN"/>
        </w:rPr>
      </w:pPr>
      <w:r>
        <w:rPr>
          <w:rFonts w:hint="eastAsia" w:ascii="Times New Roman Regular" w:hAnsi="Times New Roman Regular" w:eastAsia="黑体" w:cs="Times New Roman Regular"/>
          <w:sz w:val="32"/>
          <w:szCs w:val="32"/>
          <w:lang w:val="en-US" w:eastAsia="zh-CN"/>
        </w:rPr>
        <w:t>三、考生参考具体安排</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所有外省市来津、返津考生请于来津、返津后及时向在津居住地社区（村）或居住酒店报备。</w:t>
      </w:r>
    </w:p>
    <w:p>
      <w:pPr>
        <w:keepNext w:val="0"/>
        <w:keepLines w:val="0"/>
        <w:widowControl/>
        <w:suppressLineNumbers w:val="0"/>
        <w:ind w:firstLine="680"/>
        <w:jc w:val="left"/>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1、第四类考生，须提供考试前48小时内（以采样时间为准）核酸检测阴性证明参加考试，其中，来津、返津考生应同时满足我市最新进津政策有关要求。</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2、第三类考生，须提供活动前72小时内2次核酸检测阴性证明（以采样时间为准，采样间隔24小时），可视情允许于普通考点的隔离考场参加考试，不得与天津健康码“黄码”人员及参照“黄码”管理人员于同一考场；并于活动结束后隔日进行1次核酸检测，将结果反馈组考单位。其中，外省市来津、返津考生应同时满足我市当前进津政策有关要求。</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lang w:val="en-US" w:eastAsia="zh-CN"/>
        </w:rPr>
        <w:t>3、</w:t>
      </w:r>
      <w:r>
        <w:rPr>
          <w:rFonts w:hint="eastAsia" w:ascii="宋体" w:hAnsi="宋体" w:eastAsia="仿宋_GB2312" w:cs="仿宋_GB2312"/>
          <w:color w:val="auto"/>
          <w:sz w:val="34"/>
          <w:szCs w:val="34"/>
          <w:highlight w:val="none"/>
        </w:rPr>
        <w:t>第二类考生，须于活动前3日如实向组考单位报备，提供活动前72小时内2次核酸检测阴性证明（以采样时间为准，采样间隔24小时）。“点对点”闭环转运至隔离考点或备用隔离考场参加考试。活动结束当日及隔日（采样间隔满48小时）进行核酸检测，并将检测结果反馈组考单位。</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4、</w:t>
      </w:r>
      <w:r>
        <w:rPr>
          <w:rFonts w:hint="eastAsia" w:ascii="宋体" w:hAnsi="宋体" w:eastAsia="仿宋_GB2312" w:cs="仿宋_GB2312"/>
          <w:color w:val="auto"/>
          <w:sz w:val="34"/>
          <w:szCs w:val="34"/>
          <w:highlight w:val="none"/>
          <w:lang w:eastAsia="zh-CN"/>
        </w:rPr>
        <w:t>第一类考生，</w:t>
      </w:r>
      <w:r>
        <w:rPr>
          <w:rFonts w:hint="eastAsia" w:ascii="宋体" w:hAnsi="宋体" w:eastAsia="仿宋_GB2312" w:cs="仿宋_GB2312"/>
          <w:color w:val="auto"/>
          <w:sz w:val="34"/>
          <w:szCs w:val="34"/>
          <w:highlight w:val="none"/>
          <w:lang w:val="en-US" w:eastAsia="zh-CN"/>
        </w:rPr>
        <w:t>按当地防疫政策可以自由流动的外省市来津考生，抵津后按照我市排查管控政策（参见“津云”APP-“战疫”栏目-最新发布的“排查管控范围”）需要进行隔离管控的，应在考前完成并解除隔离管控后持首场考试前48小时内核酸检测阴性证明（</w:t>
      </w:r>
      <w:r>
        <w:rPr>
          <w:rFonts w:hint="eastAsia" w:ascii="宋体" w:hAnsi="宋体" w:eastAsia="仿宋_GB2312" w:cs="仿宋_GB2312"/>
          <w:color w:val="auto"/>
          <w:sz w:val="34"/>
          <w:szCs w:val="34"/>
          <w:highlight w:val="none"/>
        </w:rPr>
        <w:t>以采样时间为准</w:t>
      </w:r>
      <w:r>
        <w:rPr>
          <w:rFonts w:hint="eastAsia" w:ascii="宋体" w:hAnsi="宋体" w:eastAsia="仿宋_GB2312" w:cs="仿宋_GB2312"/>
          <w:color w:val="auto"/>
          <w:sz w:val="34"/>
          <w:szCs w:val="34"/>
          <w:highlight w:val="none"/>
          <w:lang w:val="en-US" w:eastAsia="zh-CN"/>
        </w:rPr>
        <w:t>）方可参加考试。</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第一类考生中，考前7天始终处于天津的，经研判可以参加考试的，须于</w:t>
      </w:r>
      <w:r>
        <w:rPr>
          <w:rFonts w:hint="eastAsia" w:ascii="宋体" w:hAnsi="宋体" w:eastAsia="仿宋_GB2312" w:cs="仿宋_GB2312"/>
          <w:color w:val="auto"/>
          <w:sz w:val="34"/>
          <w:szCs w:val="34"/>
          <w:highlight w:val="none"/>
          <w:lang w:val="en-US" w:eastAsia="zh-CN"/>
        </w:rPr>
        <w:t>8</w:t>
      </w:r>
      <w:r>
        <w:rPr>
          <w:rFonts w:hint="eastAsia" w:ascii="宋体" w:hAnsi="宋体" w:eastAsia="仿宋_GB2312" w:cs="仿宋_GB2312"/>
          <w:color w:val="auto"/>
          <w:sz w:val="34"/>
          <w:szCs w:val="34"/>
          <w:highlight w:val="none"/>
        </w:rPr>
        <w:t>月2</w:t>
      </w:r>
      <w:r>
        <w:rPr>
          <w:rFonts w:hint="eastAsia" w:ascii="宋体" w:hAnsi="宋体" w:eastAsia="仿宋_GB2312" w:cs="仿宋_GB2312"/>
          <w:color w:val="auto"/>
          <w:sz w:val="34"/>
          <w:szCs w:val="34"/>
          <w:highlight w:val="none"/>
          <w:lang w:val="en-US" w:eastAsia="zh-CN"/>
        </w:rPr>
        <w:t>3</w:t>
      </w:r>
      <w:r>
        <w:rPr>
          <w:rFonts w:hint="eastAsia" w:ascii="宋体" w:hAnsi="宋体" w:eastAsia="仿宋_GB2312" w:cs="仿宋_GB2312"/>
          <w:color w:val="auto"/>
          <w:sz w:val="34"/>
          <w:szCs w:val="34"/>
          <w:highlight w:val="none"/>
        </w:rPr>
        <w:t>日9时前如实填报《流调表》注明有关情况，经分析研判</w:t>
      </w:r>
      <w:r>
        <w:rPr>
          <w:rFonts w:hint="eastAsia" w:ascii="宋体" w:hAnsi="宋体" w:eastAsia="仿宋_GB2312" w:cs="仿宋_GB2312"/>
          <w:color w:val="auto"/>
          <w:sz w:val="34"/>
          <w:szCs w:val="34"/>
          <w:highlight w:val="none"/>
          <w:lang w:eastAsia="zh-CN"/>
        </w:rPr>
        <w:t>，</w:t>
      </w:r>
      <w:r>
        <w:rPr>
          <w:rFonts w:hint="eastAsia" w:ascii="宋体" w:hAnsi="宋体" w:eastAsia="仿宋_GB2312" w:cs="仿宋_GB2312"/>
          <w:color w:val="auto"/>
          <w:sz w:val="34"/>
          <w:szCs w:val="34"/>
          <w:highlight w:val="none"/>
        </w:rPr>
        <w:t>可于考前48小时“点对点”闭环转运安排在隔离考点参加考试。需提供活动前72小时内2次核酸检测阴性证明（以采样时间为准，采样间隔24小时）。活动结束当日及隔日（采样间隔满48小时）进行核酸检测。并将检测结果反馈组考单位。</w:t>
      </w:r>
    </w:p>
    <w:p>
      <w:pPr>
        <w:keepNext w:val="0"/>
        <w:keepLines w:val="0"/>
        <w:pageBreakBefore w:val="0"/>
        <w:kinsoku/>
        <w:wordWrap/>
        <w:overflowPunct/>
        <w:topLinePunct w:val="0"/>
        <w:bidi w:val="0"/>
        <w:spacing w:line="588" w:lineRule="exact"/>
        <w:ind w:firstLine="680" w:firstLineChars="200"/>
        <w:textAlignment w:val="auto"/>
        <w:rPr>
          <w:rFonts w:hint="eastAsia" w:ascii="宋体" w:hAnsi="宋体" w:eastAsia="仿宋_GB2312" w:cs="仿宋_GB2312"/>
          <w:color w:val="auto"/>
          <w:sz w:val="34"/>
          <w:szCs w:val="34"/>
          <w:highlight w:val="none"/>
        </w:rPr>
      </w:pPr>
      <w:r>
        <w:rPr>
          <w:rFonts w:hint="eastAsia" w:ascii="宋体" w:hAnsi="宋体" w:eastAsia="仿宋_GB2312" w:cs="仿宋_GB2312"/>
          <w:color w:val="auto"/>
          <w:sz w:val="34"/>
          <w:szCs w:val="34"/>
          <w:highlight w:val="none"/>
        </w:rPr>
        <w:t>考生情形有变化的，按照变化后对应的类别政策执行。</w:t>
      </w:r>
    </w:p>
    <w:p>
      <w:pPr>
        <w:numPr>
          <w:ilvl w:val="0"/>
          <w:numId w:val="0"/>
        </w:numPr>
        <w:spacing w:line="600" w:lineRule="exact"/>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需要重点监测考生，考前将由招聘单位研判，电话通知具体考试要求，请考生随时保持联络畅通，如实上报个人情况。</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xml:space="preserve">   </w:t>
      </w:r>
      <w:r>
        <w:rPr>
          <w:rFonts w:hint="eastAsia" w:ascii="Times New Roman Regular" w:hAnsi="Times New Roman Regular" w:eastAsia="黑体" w:cs="Times New Roman Regular"/>
          <w:sz w:val="32"/>
          <w:szCs w:val="32"/>
          <w:lang w:val="en-US" w:eastAsia="zh-CN"/>
        </w:rPr>
        <w:t>四、严格遵守考试要求</w:t>
      </w:r>
      <w:r>
        <w:rPr>
          <w:rFonts w:hint="eastAsia" w:ascii="Times New Roman Regular" w:hAnsi="Times New Roman Regular" w:eastAsia="黑体" w:cs="Times New Roman Regular"/>
          <w:sz w:val="32"/>
          <w:szCs w:val="32"/>
          <w:lang w:val="en-US" w:eastAsia="zh-CN"/>
        </w:rPr>
        <w:br w:type="textWrapping"/>
      </w:r>
      <w:r>
        <w:rPr>
          <w:rFonts w:hint="eastAsia" w:ascii="宋体" w:hAnsi="宋体" w:eastAsia="仿宋_GB2312" w:cs="仿宋_GB2312"/>
          <w:color w:val="auto"/>
          <w:sz w:val="34"/>
          <w:szCs w:val="34"/>
          <w:highlight w:val="none"/>
          <w:lang w:val="en-US" w:eastAsia="zh-CN"/>
        </w:rPr>
        <w:t>   （一）进入考点所需的证件、材料</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查验“一证一码一卡一承诺”、准考证、身份证及新冠病毒疫苗接种等。</w:t>
      </w:r>
    </w:p>
    <w:p>
      <w:pPr>
        <w:numPr>
          <w:ilvl w:val="0"/>
          <w:numId w:val="0"/>
        </w:numPr>
        <w:spacing w:line="600" w:lineRule="exact"/>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“一证”为符合时间要求的核酸检测阴性证明，建议携带纸质报告，同时截屏电子报告备查；</w:t>
      </w:r>
    </w:p>
    <w:p>
      <w:pPr>
        <w:numPr>
          <w:ilvl w:val="0"/>
          <w:numId w:val="0"/>
        </w:numPr>
        <w:spacing w:line="600" w:lineRule="exact"/>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“一码”为天津健康码“绿码”；</w:t>
      </w:r>
    </w:p>
    <w:p>
      <w:pPr>
        <w:numPr>
          <w:ilvl w:val="0"/>
          <w:numId w:val="0"/>
        </w:numPr>
        <w:spacing w:line="600" w:lineRule="exact"/>
        <w:ind w:firstLine="68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“一卡”为通信大数据行程卡无异常；</w:t>
      </w:r>
    </w:p>
    <w:p>
      <w:pPr>
        <w:numPr>
          <w:ilvl w:val="0"/>
          <w:numId w:val="0"/>
        </w:numPr>
        <w:spacing w:line="600" w:lineRule="exact"/>
        <w:ind w:firstLine="68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“一承诺”为安全考试承诺书；</w:t>
      </w:r>
    </w:p>
    <w:p>
      <w:pPr>
        <w:numPr>
          <w:ilvl w:val="0"/>
          <w:numId w:val="0"/>
        </w:numPr>
        <w:spacing w:line="600" w:lineRule="exact"/>
        <w:ind w:firstLine="68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已接种疫苗考生，凭有效电子标识或纸质接种证明参加考试；未接种疫苗考生，在现场进行登记后参加考试。</w:t>
      </w:r>
    </w:p>
    <w:p>
      <w:pPr>
        <w:keepNext w:val="0"/>
        <w:keepLines w:val="0"/>
        <w:pageBreakBefore w:val="0"/>
        <w:numPr>
          <w:ilvl w:val="0"/>
          <w:numId w:val="0"/>
        </w:numPr>
        <w:kinsoku/>
        <w:wordWrap/>
        <w:overflowPunct/>
        <w:topLinePunct w:val="0"/>
        <w:bidi w:val="0"/>
        <w:spacing w:line="588" w:lineRule="exact"/>
        <w:ind w:left="510" w:leftChars="0"/>
        <w:textAlignment w:val="auto"/>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（二）考试期间有关要求</w:t>
      </w:r>
    </w:p>
    <w:p>
      <w:pPr>
        <w:keepNext w:val="0"/>
        <w:keepLines w:val="0"/>
        <w:pageBreakBefore w:val="0"/>
        <w:numPr>
          <w:ilvl w:val="0"/>
          <w:numId w:val="0"/>
        </w:numPr>
        <w:kinsoku/>
        <w:wordWrap/>
        <w:overflowPunct/>
        <w:topLinePunct w:val="0"/>
        <w:bidi w:val="0"/>
        <w:spacing w:line="588" w:lineRule="exact"/>
        <w:textAlignment w:val="auto"/>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 xml:space="preserve">    1.考试当日，考生需在7点前到达考点；</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仿宋_GB2312" w:hAnsi="仿宋_GB2312" w:eastAsia="仿宋_GB2312" w:cs="仿宋_GB2312"/>
          <w:sz w:val="32"/>
          <w:szCs w:val="32"/>
          <w:lang w:val="en-US" w:eastAsia="zh-CN"/>
        </w:rPr>
        <w:t xml:space="preserve"> </w:t>
      </w:r>
      <w:r>
        <w:rPr>
          <w:rFonts w:hint="eastAsia" w:ascii="宋体" w:hAnsi="宋体" w:eastAsia="仿宋_GB2312" w:cs="仿宋_GB2312"/>
          <w:color w:val="auto"/>
          <w:sz w:val="34"/>
          <w:szCs w:val="34"/>
          <w:highlight w:val="none"/>
          <w:lang w:val="en-US" w:eastAsia="zh-CN"/>
        </w:rPr>
        <w:t>2.进入考点后，积极配合测温、验码等健康检查工作；</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3.除核验身份时，全程佩戴一次性医用口罩或医用外科口罩；</w:t>
      </w:r>
    </w:p>
    <w:p>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4.进、出考场或如厕时与他人保持1米以上距离，避免近距离接触交流；</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xml:space="preserve">    5.考试过程中发现体温达到或超过37.3℃，或出现咳嗽、咽干、呼吸困难、呕吐、腹泻、嗅觉或味觉减退等疑似症状，由考点医护人员进行初步诊断，并视情况安排到备用隔离考场参加考试，或者立即采取隔离措施，送往定点医院进行医治。</w:t>
      </w:r>
      <w:r>
        <w:rPr>
          <w:rFonts w:hint="eastAsia" w:ascii="宋体" w:hAnsi="宋体" w:eastAsia="仿宋_GB2312" w:cs="仿宋_GB2312"/>
          <w:color w:val="auto"/>
          <w:sz w:val="34"/>
          <w:szCs w:val="34"/>
          <w:highlight w:val="none"/>
          <w:lang w:val="en-US" w:eastAsia="zh-CN"/>
        </w:rPr>
        <w:br w:type="textWrapping"/>
      </w:r>
      <w:r>
        <w:rPr>
          <w:rFonts w:hint="eastAsia" w:ascii="宋体" w:hAnsi="宋体" w:eastAsia="仿宋_GB2312" w:cs="仿宋_GB2312"/>
          <w:color w:val="auto"/>
          <w:sz w:val="34"/>
          <w:szCs w:val="34"/>
          <w:highlight w:val="none"/>
          <w:lang w:val="en-US" w:eastAsia="zh-CN"/>
        </w:rPr>
        <w:t xml:space="preserve">   </w:t>
      </w:r>
      <w:r>
        <w:rPr>
          <w:rFonts w:hint="eastAsia" w:ascii="Times New Roman Regular" w:hAnsi="Times New Roman Regular" w:eastAsia="黑体" w:cs="Times New Roman Regular"/>
          <w:sz w:val="32"/>
          <w:szCs w:val="32"/>
          <w:lang w:val="en-US" w:eastAsia="zh-CN"/>
        </w:rPr>
        <w:t>五、主动进行健康追溯</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宋体" w:hAnsi="宋体" w:eastAsia="仿宋_GB2312" w:cs="仿宋_GB2312"/>
          <w:color w:val="auto"/>
          <w:sz w:val="34"/>
          <w:szCs w:val="34"/>
          <w:highlight w:val="none"/>
          <w:lang w:val="en-US" w:eastAsia="zh-CN"/>
        </w:rPr>
        <w:t>（一）所有考生均须进行考后7天健康监测。如有发热或新冠肺炎疑似症状等异常的，应及时就医排除新冠肺炎，并报告有关情况。报告主要内容为：姓名、准考证号、身份证号、联系电话、异常情况（①有发热等症状，经诊断确诊为新冠肺炎；②有发热等症状，经诊断排除新冠肺炎；③其他情况）。以上情况先电话报备，然后把相关信息发至指定邮箱，邮件名称：考生姓名+准考证号+健康监测。报备邮箱：nhqwsjkwyh06@tj.gov.cn，报备电话：022-69591634。</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w:t>
      </w:r>
      <w:r>
        <w:rPr>
          <w:rFonts w:hint="eastAsia" w:ascii="宋体" w:hAnsi="宋体" w:eastAsia="仿宋_GB2312" w:cs="仿宋_GB2312"/>
          <w:color w:val="auto"/>
          <w:sz w:val="34"/>
          <w:szCs w:val="34"/>
          <w:highlight w:val="none"/>
          <w:lang w:val="en-US" w:eastAsia="zh-CN"/>
        </w:rPr>
        <w:t>（二）在非常规考场（常规考点备用隔离考场、隔离考点考场）考试的考生，除需进行7天健康监测外，还应于8月26日、8月28日进行核酸检测，并及时将检测结果以图片或PDF格式上传至nhqwsjkwyh06@tj.gov.cn，邮件名称：考生姓名+准考证号+核酸检测。</w:t>
      </w:r>
      <w:r>
        <w:rPr>
          <w:rFonts w:hint="eastAsia" w:ascii="宋体" w:hAnsi="宋体" w:eastAsia="仿宋_GB2312" w:cs="仿宋_GB2312"/>
          <w:color w:val="auto"/>
          <w:sz w:val="34"/>
          <w:szCs w:val="34"/>
          <w:highlight w:val="none"/>
          <w:lang w:val="en-US" w:eastAsia="zh-CN"/>
        </w:rPr>
        <w:br w:type="textWrapping"/>
      </w:r>
      <w:r>
        <w:rPr>
          <w:rFonts w:ascii="Times New Roman Regular" w:hAnsi="Times New Roman Regular" w:eastAsia="黑体" w:cs="Times New Roman Regular"/>
          <w:sz w:val="32"/>
          <w:szCs w:val="32"/>
          <w:lang w:val="en-US" w:eastAsia="zh-CN"/>
        </w:rPr>
        <w:t xml:space="preserve">      </w:t>
      </w:r>
      <w:r>
        <w:rPr>
          <w:rFonts w:hint="eastAsia" w:ascii="Times New Roman Regular" w:hAnsi="Times New Roman Regular" w:eastAsia="黑体" w:cs="Times New Roman Regular"/>
          <w:sz w:val="32"/>
          <w:szCs w:val="32"/>
          <w:lang w:val="en-US" w:eastAsia="zh-CN"/>
        </w:rPr>
        <w:t>六、温馨提示</w:t>
      </w:r>
      <w:r>
        <w:rPr>
          <w:rFonts w:hint="eastAsia" w:ascii="Times New Roman Regular" w:hAnsi="Times New Roman Regular" w:eastAsia="黑体" w:cs="Times New Roman Regular"/>
          <w:sz w:val="32"/>
          <w:szCs w:val="32"/>
          <w:lang w:val="en-US" w:eastAsia="zh-CN"/>
        </w:rPr>
        <w:br w:type="textWrapping"/>
      </w:r>
      <w:r>
        <w:rPr>
          <w:rFonts w:hint="eastAsia" w:ascii="宋体" w:hAnsi="宋体" w:eastAsia="仿宋_GB2312" w:cs="仿宋_GB2312"/>
          <w:color w:val="auto"/>
          <w:sz w:val="34"/>
          <w:szCs w:val="34"/>
          <w:highlight w:val="none"/>
          <w:lang w:val="en-US" w:eastAsia="zh-CN"/>
        </w:rPr>
        <w:t>   （一）考生须遵守国家、天津市相关防疫管理规定。考生应自觉加强个人防护，主动减少外出和聚集，做到非必要不前往国（境）外及国内疫情地区。天津本地考生考前7天内非必要不离津。外省市来津考生，要提前了解来津、离津的最新疫情防控政策，合理安排出行和食宿，入住酒店应选择单人单间。</w:t>
      </w:r>
    </w:p>
    <w:p>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（二）《安全考试承诺书》事关考生健康安全，请考生高度重视，如实、按时填报，如有变化应及时更新，避免影响疫情防控工作。</w:t>
      </w:r>
    </w:p>
    <w:p>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（三）考生可通过微信搜索“国家政务服务平台”小程序，查询核酸检测结果、新冠病毒疫苗接种信息、全国核酸检测机构、各地疫情风险等级等信息。</w:t>
      </w:r>
    </w:p>
    <w:p>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（四）请考生按要求合理安排核酸检测时间，确保考试入场前查询到检测结果，以免影响参加考试。</w:t>
      </w:r>
    </w:p>
    <w:p>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（五）考试疫情防控措施将根据疫情防控形势变化适时调整，请考生密切关注</w:t>
      </w:r>
      <w:r>
        <w:rPr>
          <w:rFonts w:hint="eastAsia" w:ascii="仿宋_GB2312" w:hAnsi="仿宋_GB2312" w:eastAsia="仿宋_GB2312" w:cs="仿宋_GB2312"/>
          <w:sz w:val="34"/>
          <w:szCs w:val="34"/>
        </w:rPr>
        <w:t>天津市宁河区人民政府网（</w:t>
      </w:r>
      <w:r>
        <w:rPr>
          <w:rFonts w:hint="eastAsia" w:ascii="仿宋_GB2312" w:hAnsi="仿宋_GB2312" w:eastAsia="仿宋_GB2312" w:cs="仿宋_GB2312"/>
          <w:sz w:val="34"/>
          <w:szCs w:val="34"/>
        </w:rPr>
        <w:fldChar w:fldCharType="begin"/>
      </w:r>
      <w:r>
        <w:rPr>
          <w:rFonts w:hint="eastAsia" w:ascii="仿宋_GB2312" w:hAnsi="仿宋_GB2312" w:eastAsia="仿宋_GB2312" w:cs="仿宋_GB2312"/>
          <w:sz w:val="34"/>
          <w:szCs w:val="34"/>
        </w:rPr>
        <w:instrText xml:space="preserve"> HYPERLINK "http://tjnh.gov.cn/" </w:instrText>
      </w:r>
      <w:r>
        <w:rPr>
          <w:rFonts w:hint="eastAsia" w:ascii="仿宋_GB2312" w:hAnsi="仿宋_GB2312" w:eastAsia="仿宋_GB2312" w:cs="仿宋_GB2312"/>
          <w:sz w:val="34"/>
          <w:szCs w:val="34"/>
        </w:rPr>
        <w:fldChar w:fldCharType="separate"/>
      </w:r>
      <w:r>
        <w:rPr>
          <w:rFonts w:hint="eastAsia" w:ascii="仿宋_GB2312" w:hAnsi="仿宋_GB2312" w:eastAsia="仿宋_GB2312" w:cs="仿宋_GB2312"/>
          <w:sz w:val="34"/>
          <w:szCs w:val="34"/>
        </w:rPr>
        <w:t>http://www.tjnh.gov.cn</w:t>
      </w:r>
      <w:r>
        <w:rPr>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w:t>
      </w:r>
      <w:r>
        <w:rPr>
          <w:rFonts w:hint="eastAsia" w:ascii="宋体" w:hAnsi="宋体" w:eastAsia="仿宋_GB2312" w:cs="仿宋_GB2312"/>
          <w:color w:val="auto"/>
          <w:sz w:val="34"/>
          <w:szCs w:val="34"/>
          <w:highlight w:val="none"/>
          <w:lang w:val="en-US" w:eastAsia="zh-CN"/>
        </w:rPr>
        <w:t>和天津卫生人才网（www.tjwsrc.com）网站、天津医学考试网（tjwsrc-1993）微信公众号，及时了解相关要求。</w:t>
      </w:r>
    </w:p>
    <w:p>
      <w:pPr>
        <w:ind w:firstLine="680" w:firstLineChars="200"/>
        <w:rPr>
          <w:rFonts w:hint="eastAsia" w:ascii="宋体" w:hAnsi="宋体" w:eastAsia="仿宋_GB2312" w:cs="仿宋_GB2312"/>
          <w:color w:val="auto"/>
          <w:sz w:val="34"/>
          <w:szCs w:val="34"/>
          <w:highlight w:val="none"/>
          <w:lang w:val="en-US" w:eastAsia="zh-CN"/>
        </w:rPr>
      </w:pPr>
    </w:p>
    <w:p>
      <w:pPr>
        <w:ind w:firstLine="680" w:firstLineChars="200"/>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考生须遵守疫情防控政策要求，凡违反疫情防控有关规定，隐瞒病情、旅居史、接触史等信息，以及拒不佩戴口罩等不配合考场疫情防控工作的考生，将按照《治安管理处罚法》、《传染病防治法》、《关于依法惩治妨害新型冠状病毒感染肺炎疫情防控违法犯罪的意见》等法律法规予以严肃处理。</w:t>
      </w:r>
    </w:p>
    <w:p>
      <w:pPr>
        <w:pStyle w:val="4"/>
        <w:snapToGrid w:val="0"/>
        <w:spacing w:line="600" w:lineRule="exact"/>
        <w:jc w:val="left"/>
        <w:rPr>
          <w:rFonts w:hint="eastAsia" w:ascii="宋体" w:hAnsi="宋体" w:eastAsia="仿宋_GB2312" w:cs="仿宋_GB2312"/>
          <w:color w:val="auto"/>
          <w:kern w:val="2"/>
          <w:sz w:val="34"/>
          <w:szCs w:val="34"/>
          <w:highlight w:val="none"/>
          <w:lang w:val="en-US" w:eastAsia="zh-CN" w:bidi="ar-SA"/>
        </w:rPr>
      </w:pPr>
    </w:p>
    <w:p>
      <w:pPr>
        <w:pStyle w:val="4"/>
        <w:snapToGrid w:val="0"/>
        <w:spacing w:line="600" w:lineRule="exact"/>
        <w:jc w:val="left"/>
        <w:rPr>
          <w:rFonts w:hint="eastAsia" w:ascii="宋体" w:hAnsi="宋体" w:eastAsia="仿宋_GB2312" w:cs="仿宋_GB2312"/>
          <w:color w:val="auto"/>
          <w:kern w:val="2"/>
          <w:sz w:val="34"/>
          <w:szCs w:val="34"/>
          <w:highlight w:val="none"/>
          <w:lang w:val="en-US" w:eastAsia="zh-CN" w:bidi="ar-SA"/>
        </w:rPr>
      </w:pPr>
      <w:r>
        <w:rPr>
          <w:rFonts w:hint="eastAsia" w:ascii="宋体" w:hAnsi="宋体" w:eastAsia="仿宋_GB2312" w:cs="仿宋_GB2312"/>
          <w:color w:val="auto"/>
          <w:kern w:val="2"/>
          <w:sz w:val="34"/>
          <w:szCs w:val="34"/>
          <w:highlight w:val="none"/>
          <w:lang w:val="en-US" w:eastAsia="zh-CN" w:bidi="ar-SA"/>
        </w:rPr>
        <w:t xml:space="preserve">政策咨询电话：022-69591634      </w:t>
      </w:r>
    </w:p>
    <w:p>
      <w:pPr>
        <w:keepNext w:val="0"/>
        <w:keepLines w:val="0"/>
        <w:widowControl/>
        <w:suppressLineNumbers w:val="0"/>
        <w:spacing w:after="240" w:afterAutospacing="0"/>
        <w:jc w:val="both"/>
        <w:rPr>
          <w:rFonts w:hint="eastAsia" w:ascii="宋体" w:hAnsi="宋体" w:eastAsia="仿宋_GB2312" w:cs="仿宋_GB2312"/>
          <w:color w:val="auto"/>
          <w:kern w:val="2"/>
          <w:sz w:val="34"/>
          <w:szCs w:val="34"/>
          <w:highlight w:val="none"/>
          <w:lang w:val="en-US" w:eastAsia="zh-CN" w:bidi="ar-SA"/>
        </w:rPr>
      </w:pPr>
      <w:r>
        <w:rPr>
          <w:rFonts w:hint="eastAsia" w:ascii="宋体" w:hAnsi="宋体" w:eastAsia="仿宋_GB2312" w:cs="仿宋_GB2312"/>
          <w:color w:val="auto"/>
          <w:kern w:val="2"/>
          <w:sz w:val="34"/>
          <w:szCs w:val="34"/>
          <w:highlight w:val="none"/>
          <w:lang w:val="en-US" w:eastAsia="zh-CN" w:bidi="ar-SA"/>
        </w:rPr>
        <w:t>咨询时间：工作日上午9:00—12:00，下午14:00—17:00</w:t>
      </w:r>
      <w:r>
        <w:rPr>
          <w:rFonts w:hint="eastAsia" w:ascii="宋体" w:hAnsi="宋体" w:eastAsia="仿宋_GB2312" w:cs="仿宋_GB2312"/>
          <w:color w:val="auto"/>
          <w:kern w:val="2"/>
          <w:sz w:val="34"/>
          <w:szCs w:val="34"/>
          <w:highlight w:val="none"/>
          <w:lang w:val="en-US" w:eastAsia="zh-CN" w:bidi="ar-SA"/>
        </w:rPr>
        <w:br w:type="textWrapping"/>
      </w:r>
    </w:p>
    <w:p>
      <w:pPr>
        <w:keepNext w:val="0"/>
        <w:keepLines w:val="0"/>
        <w:pageBreakBefore w:val="0"/>
        <w:kinsoku/>
        <w:wordWrap/>
        <w:overflowPunct/>
        <w:topLinePunct w:val="0"/>
        <w:bidi w:val="0"/>
        <w:spacing w:line="588" w:lineRule="exact"/>
        <w:ind w:firstLine="680"/>
        <w:jc w:val="right"/>
        <w:textAlignment w:val="auto"/>
        <w:rPr>
          <w:rFonts w:hint="eastAsia" w:ascii="宋体" w:hAnsi="宋体" w:eastAsia="仿宋_GB2312" w:cs="仿宋_GB2312"/>
          <w:color w:val="auto"/>
          <w:sz w:val="34"/>
          <w:szCs w:val="34"/>
          <w:highlight w:val="none"/>
          <w:lang w:val="en-US" w:eastAsia="zh-CN"/>
        </w:rPr>
      </w:pPr>
    </w:p>
    <w:p>
      <w:pPr>
        <w:keepNext w:val="0"/>
        <w:keepLines w:val="0"/>
        <w:pageBreakBefore w:val="0"/>
        <w:kinsoku/>
        <w:wordWrap/>
        <w:overflowPunct/>
        <w:topLinePunct w:val="0"/>
        <w:bidi w:val="0"/>
        <w:spacing w:line="588" w:lineRule="exact"/>
        <w:ind w:firstLine="680"/>
        <w:jc w:val="right"/>
        <w:textAlignment w:val="auto"/>
        <w:rPr>
          <w:rFonts w:hint="eastAsia"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天津市宁河区卫生健康委员会</w:t>
      </w:r>
    </w:p>
    <w:p>
      <w:pPr>
        <w:keepNext w:val="0"/>
        <w:keepLines w:val="0"/>
        <w:pageBreakBefore w:val="0"/>
        <w:kinsoku/>
        <w:wordWrap/>
        <w:overflowPunct/>
        <w:topLinePunct w:val="0"/>
        <w:bidi w:val="0"/>
        <w:spacing w:line="588" w:lineRule="exact"/>
        <w:ind w:firstLine="680"/>
        <w:jc w:val="right"/>
        <w:textAlignment w:val="auto"/>
        <w:rPr>
          <w:rFonts w:hint="default" w:ascii="宋体" w:hAnsi="宋体" w:eastAsia="仿宋_GB2312" w:cs="仿宋_GB2312"/>
          <w:color w:val="auto"/>
          <w:sz w:val="34"/>
          <w:szCs w:val="34"/>
          <w:highlight w:val="none"/>
          <w:lang w:val="en-US" w:eastAsia="zh-CN"/>
        </w:rPr>
      </w:pPr>
      <w:r>
        <w:rPr>
          <w:rFonts w:hint="eastAsia" w:ascii="宋体" w:hAnsi="宋体" w:eastAsia="仿宋_GB2312" w:cs="仿宋_GB2312"/>
          <w:color w:val="auto"/>
          <w:sz w:val="34"/>
          <w:szCs w:val="34"/>
          <w:highlight w:val="none"/>
          <w:lang w:val="en-US" w:eastAsia="zh-CN"/>
        </w:rPr>
        <w:t>2022年8月16日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times">
    <w:altName w:val="FreeSerif"/>
    <w:panose1 w:val="02020603050405020304"/>
    <w:charset w:val="00"/>
    <w:family w:val="auto"/>
    <w:pitch w:val="default"/>
    <w:sig w:usb0="00000000" w:usb1="00000000" w:usb2="00000000" w:usb3="00000000" w:csb0="00000000" w:csb1="00000000"/>
  </w:font>
  <w:font w:name="Times New Roman Regular">
    <w:altName w:val="Nimbus Roman No9 L"/>
    <w:panose1 w:val="00000000000000000000"/>
    <w:charset w:val="00"/>
    <w:family w:val="auto"/>
    <w:pitch w:val="default"/>
    <w:sig w:usb0="00000000" w:usb1="00000000" w:usb2="00000001" w:usb3="00000000" w:csb0="400001BF" w:csb1="DFF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5E98"/>
    <w:rsid w:val="00165E98"/>
    <w:rsid w:val="001B74A6"/>
    <w:rsid w:val="002923F9"/>
    <w:rsid w:val="00296785"/>
    <w:rsid w:val="002A6271"/>
    <w:rsid w:val="00331B05"/>
    <w:rsid w:val="0033632C"/>
    <w:rsid w:val="00395514"/>
    <w:rsid w:val="003C0667"/>
    <w:rsid w:val="00411CCD"/>
    <w:rsid w:val="00411FB4"/>
    <w:rsid w:val="00424C2F"/>
    <w:rsid w:val="004420EC"/>
    <w:rsid w:val="004A01C7"/>
    <w:rsid w:val="004D098F"/>
    <w:rsid w:val="005A3FA7"/>
    <w:rsid w:val="00600AA5"/>
    <w:rsid w:val="00695C9C"/>
    <w:rsid w:val="009030FC"/>
    <w:rsid w:val="0092769B"/>
    <w:rsid w:val="009D0BB2"/>
    <w:rsid w:val="00A047AE"/>
    <w:rsid w:val="00A17486"/>
    <w:rsid w:val="00A24990"/>
    <w:rsid w:val="00B65CDD"/>
    <w:rsid w:val="00C34C6D"/>
    <w:rsid w:val="00CE29BC"/>
    <w:rsid w:val="00D25F8F"/>
    <w:rsid w:val="00D80CA4"/>
    <w:rsid w:val="00E844B5"/>
    <w:rsid w:val="0A3D07A4"/>
    <w:rsid w:val="0B9A5B77"/>
    <w:rsid w:val="0FDBEA5B"/>
    <w:rsid w:val="1BEB7D3A"/>
    <w:rsid w:val="1DCEF306"/>
    <w:rsid w:val="215F4349"/>
    <w:rsid w:val="29404CD8"/>
    <w:rsid w:val="35B595DA"/>
    <w:rsid w:val="37CFCCEE"/>
    <w:rsid w:val="3FCC78D6"/>
    <w:rsid w:val="3FDDD65B"/>
    <w:rsid w:val="3FEFC597"/>
    <w:rsid w:val="3FF35807"/>
    <w:rsid w:val="3FFDE90D"/>
    <w:rsid w:val="460D5B8A"/>
    <w:rsid w:val="4DCB4C2A"/>
    <w:rsid w:val="5BB95385"/>
    <w:rsid w:val="5DF5806F"/>
    <w:rsid w:val="6F7F28C3"/>
    <w:rsid w:val="6FFD04E0"/>
    <w:rsid w:val="754F756E"/>
    <w:rsid w:val="76BDD72A"/>
    <w:rsid w:val="779EC361"/>
    <w:rsid w:val="77F785B1"/>
    <w:rsid w:val="77F79753"/>
    <w:rsid w:val="78144283"/>
    <w:rsid w:val="797BBC91"/>
    <w:rsid w:val="79FAA37F"/>
    <w:rsid w:val="7AEB67B4"/>
    <w:rsid w:val="7AEFC5F0"/>
    <w:rsid w:val="7B9D1651"/>
    <w:rsid w:val="7FBF388F"/>
    <w:rsid w:val="7FBFB78C"/>
    <w:rsid w:val="7FF9A5AA"/>
    <w:rsid w:val="93B60537"/>
    <w:rsid w:val="B97FDCBE"/>
    <w:rsid w:val="BF193B4B"/>
    <w:rsid w:val="BFDF6724"/>
    <w:rsid w:val="BFEF6AF3"/>
    <w:rsid w:val="D33FCE6A"/>
    <w:rsid w:val="D57F792A"/>
    <w:rsid w:val="D6E78B7C"/>
    <w:rsid w:val="DB9FFCCC"/>
    <w:rsid w:val="DC5CAA78"/>
    <w:rsid w:val="DFDF7A1B"/>
    <w:rsid w:val="DFFFC6CD"/>
    <w:rsid w:val="E64B2A25"/>
    <w:rsid w:val="E676BC75"/>
    <w:rsid w:val="E79A4D0E"/>
    <w:rsid w:val="EFF63247"/>
    <w:rsid w:val="F57EB7F7"/>
    <w:rsid w:val="F5F5903E"/>
    <w:rsid w:val="F5F69600"/>
    <w:rsid w:val="F9DF8384"/>
    <w:rsid w:val="FB7FE4D7"/>
    <w:rsid w:val="FEBB866F"/>
    <w:rsid w:val="FF7FB19D"/>
    <w:rsid w:val="FFB2A091"/>
    <w:rsid w:val="FFEF76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4">
    <w:name w:val="Normal (Web)"/>
    <w:basedOn w:val="1"/>
    <w:qFormat/>
    <w:uiPriority w:val="0"/>
    <w:rPr>
      <w:sz w:val="24"/>
    </w:rPr>
  </w:style>
  <w:style w:type="character" w:styleId="7">
    <w:name w:val="Strong"/>
    <w:qFormat/>
    <w:uiPriority w:val="22"/>
    <w:rPr>
      <w:b/>
      <w:bCs/>
    </w:rPr>
  </w:style>
  <w:style w:type="character" w:styleId="8">
    <w:name w:val="Hyperlink"/>
    <w:basedOn w:val="6"/>
    <w:qFormat/>
    <w:uiPriority w:val="0"/>
    <w:rPr>
      <w:color w:val="0000FF"/>
      <w:u w:val="single"/>
    </w:rPr>
  </w:style>
  <w:style w:type="paragraph" w:customStyle="1" w:styleId="9">
    <w:name w:val="p1"/>
    <w:basedOn w:val="1"/>
    <w:qFormat/>
    <w:uiPriority w:val="0"/>
    <w:pPr>
      <w:shd w:val="clear" w:color="auto" w:fill="FFFFFF"/>
      <w:jc w:val="left"/>
    </w:pPr>
    <w:rPr>
      <w:rFonts w:ascii="times" w:hAnsi="times" w:eastAsia="times" w:cs="Times New Roman"/>
      <w:kern w:val="0"/>
      <w:sz w:val="48"/>
      <w:szCs w:val="48"/>
    </w:rPr>
  </w:style>
  <w:style w:type="character" w:customStyle="1" w:styleId="10">
    <w:name w:val="s1"/>
    <w:basedOn w:val="6"/>
    <w:qFormat/>
    <w:uiPriority w:val="0"/>
  </w:style>
  <w:style w:type="paragraph" w:customStyle="1" w:styleId="11">
    <w:name w:val="p10"/>
    <w:basedOn w:val="1"/>
    <w:qFormat/>
    <w:uiPriority w:val="0"/>
    <w:pPr>
      <w:shd w:val="clear" w:color="auto" w:fill="FFFFFF"/>
      <w:jc w:val="left"/>
    </w:pPr>
    <w:rPr>
      <w:rFonts w:ascii="黑体" w:hAnsi="黑体" w:eastAsia="黑体" w:cs="Times New Roman"/>
      <w:kern w:val="0"/>
      <w:sz w:val="42"/>
      <w:szCs w:val="42"/>
    </w:rPr>
  </w:style>
  <w:style w:type="paragraph" w:customStyle="1" w:styleId="12">
    <w:name w:val="p7"/>
    <w:basedOn w:val="1"/>
    <w:qFormat/>
    <w:uiPriority w:val="0"/>
    <w:pPr>
      <w:shd w:val="clear" w:color="auto" w:fill="FFFFFF"/>
      <w:ind w:firstLine="940"/>
      <w:jc w:val="left"/>
    </w:pPr>
    <w:rPr>
      <w:rFonts w:ascii="times" w:hAnsi="times" w:eastAsia="times" w:cs="Times New Roman"/>
      <w:kern w:val="0"/>
      <w:sz w:val="42"/>
      <w:szCs w:val="42"/>
    </w:rPr>
  </w:style>
  <w:style w:type="character" w:customStyle="1" w:styleId="13">
    <w:name w:val="s3"/>
    <w:basedOn w:val="6"/>
    <w:qFormat/>
    <w:uiPriority w:val="0"/>
    <w:rPr>
      <w:rFonts w:hint="default" w:ascii="times" w:hAnsi="times" w:eastAsia="times" w:cs="times"/>
      <w:sz w:val="42"/>
      <w:szCs w:val="42"/>
    </w:rPr>
  </w:style>
  <w:style w:type="paragraph" w:customStyle="1" w:styleId="14">
    <w:name w:val="p9"/>
    <w:basedOn w:val="1"/>
    <w:qFormat/>
    <w:uiPriority w:val="0"/>
    <w:pPr>
      <w:shd w:val="clear" w:color="auto" w:fill="FFFFFF"/>
      <w:ind w:firstLine="940"/>
      <w:jc w:val="left"/>
    </w:pPr>
    <w:rPr>
      <w:rFonts w:ascii="times" w:hAnsi="times" w:eastAsia="times" w:cs="Times New Roman"/>
      <w:kern w:val="0"/>
      <w:sz w:val="32"/>
      <w:szCs w:val="32"/>
    </w:rPr>
  </w:style>
  <w:style w:type="character" w:customStyle="1" w:styleId="15">
    <w:name w:val="s2"/>
    <w:basedOn w:val="6"/>
    <w:qFormat/>
    <w:uiPriority w:val="0"/>
    <w:rPr>
      <w:rFonts w:ascii="Times New Roman" w:hAnsi="Times New Roman" w:cs="Times New Roman"/>
      <w:sz w:val="42"/>
      <w:szCs w:val="42"/>
    </w:rPr>
  </w:style>
  <w:style w:type="paragraph" w:customStyle="1" w:styleId="16">
    <w:name w:val="p12"/>
    <w:basedOn w:val="1"/>
    <w:qFormat/>
    <w:uiPriority w:val="0"/>
    <w:pPr>
      <w:shd w:val="clear" w:color="auto" w:fill="FFFFFF"/>
      <w:jc w:val="left"/>
    </w:pPr>
    <w:rPr>
      <w:rFonts w:ascii="times" w:hAnsi="times" w:eastAsia="times" w:cs="Times New Roman"/>
      <w:kern w:val="0"/>
      <w:sz w:val="46"/>
      <w:szCs w:val="46"/>
    </w:rPr>
  </w:style>
  <w:style w:type="paragraph" w:customStyle="1" w:styleId="17">
    <w:name w:val="p4"/>
    <w:basedOn w:val="1"/>
    <w:qFormat/>
    <w:uiPriority w:val="0"/>
    <w:pPr>
      <w:shd w:val="clear" w:color="auto" w:fill="FFFFFF"/>
      <w:ind w:firstLine="960"/>
      <w:jc w:val="left"/>
    </w:pPr>
    <w:rPr>
      <w:rFonts w:ascii="times" w:hAnsi="times" w:eastAsia="times" w:cs="Times New Roman"/>
      <w:kern w:val="0"/>
      <w:sz w:val="42"/>
      <w:szCs w:val="42"/>
    </w:rPr>
  </w:style>
  <w:style w:type="character" w:customStyle="1" w:styleId="18">
    <w:name w:val="s5"/>
    <w:basedOn w:val="6"/>
    <w:qFormat/>
    <w:uiPriority w:val="0"/>
    <w:rPr>
      <w:rFonts w:hint="default" w:ascii="times" w:hAnsi="times" w:eastAsia="times" w:cs="times"/>
      <w:sz w:val="46"/>
      <w:szCs w:val="46"/>
    </w:rPr>
  </w:style>
  <w:style w:type="paragraph" w:customStyle="1" w:styleId="19">
    <w:name w:val="p5"/>
    <w:basedOn w:val="1"/>
    <w:qFormat/>
    <w:uiPriority w:val="0"/>
    <w:pPr>
      <w:shd w:val="clear" w:color="auto" w:fill="FFFFFF"/>
      <w:ind w:firstLine="900"/>
      <w:jc w:val="left"/>
    </w:pPr>
    <w:rPr>
      <w:rFonts w:ascii="times" w:hAnsi="times" w:eastAsia="times" w:cs="Times New Roman"/>
      <w:kern w:val="0"/>
      <w:sz w:val="42"/>
      <w:szCs w:val="42"/>
    </w:rPr>
  </w:style>
  <w:style w:type="paragraph" w:customStyle="1" w:styleId="20">
    <w:name w:val="p13"/>
    <w:basedOn w:val="1"/>
    <w:qFormat/>
    <w:uiPriority w:val="0"/>
    <w:pPr>
      <w:shd w:val="clear" w:color="auto" w:fill="FFFFFF"/>
      <w:jc w:val="right"/>
    </w:pPr>
    <w:rPr>
      <w:rFonts w:ascii="Times New Roman" w:hAnsi="Times New Roman" w:cs="Times New Roman"/>
      <w:kern w:val="0"/>
      <w:sz w:val="46"/>
      <w:szCs w:val="46"/>
    </w:rPr>
  </w:style>
  <w:style w:type="paragraph" w:customStyle="1" w:styleId="21">
    <w:name w:val="p11"/>
    <w:basedOn w:val="1"/>
    <w:qFormat/>
    <w:uiPriority w:val="0"/>
    <w:pPr>
      <w:shd w:val="clear" w:color="auto" w:fill="FFFFFF"/>
      <w:jc w:val="left"/>
    </w:pPr>
    <w:rPr>
      <w:rFonts w:ascii="Times New Roman" w:hAnsi="Times New Roman" w:cs="Times New Roman"/>
      <w:kern w:val="0"/>
      <w:sz w:val="46"/>
      <w:szCs w:val="46"/>
    </w:rPr>
  </w:style>
  <w:style w:type="character" w:customStyle="1" w:styleId="22">
    <w:name w:val="s4"/>
    <w:basedOn w:val="6"/>
    <w:qFormat/>
    <w:uiPriority w:val="0"/>
    <w:rPr>
      <w:rFonts w:hint="default" w:ascii="Times New Roman" w:hAnsi="Times New Roman" w:cs="Times New Roman"/>
      <w:sz w:val="46"/>
      <w:szCs w:val="46"/>
    </w:rPr>
  </w:style>
  <w:style w:type="paragraph" w:customStyle="1" w:styleId="23">
    <w:name w:val="p3"/>
    <w:basedOn w:val="1"/>
    <w:qFormat/>
    <w:uiPriority w:val="0"/>
    <w:pPr>
      <w:shd w:val="clear" w:color="auto" w:fill="FFFFFF"/>
      <w:ind w:firstLine="920"/>
      <w:jc w:val="left"/>
    </w:pPr>
    <w:rPr>
      <w:rFonts w:ascii="times" w:hAnsi="times" w:eastAsia="times" w:cs="Times New Roman"/>
      <w:kern w:val="0"/>
      <w:sz w:val="42"/>
      <w:szCs w:val="42"/>
    </w:rPr>
  </w:style>
  <w:style w:type="paragraph" w:customStyle="1" w:styleId="24">
    <w:name w:val="p6"/>
    <w:basedOn w:val="1"/>
    <w:qFormat/>
    <w:uiPriority w:val="0"/>
    <w:pPr>
      <w:shd w:val="clear" w:color="auto" w:fill="FFFFFF"/>
      <w:ind w:left="960" w:hanging="960"/>
      <w:jc w:val="left"/>
    </w:pPr>
    <w:rPr>
      <w:rFonts w:ascii="times" w:hAnsi="times" w:eastAsia="times" w:cs="Times New Roman"/>
      <w:kern w:val="0"/>
      <w:sz w:val="42"/>
      <w:szCs w:val="42"/>
    </w:rPr>
  </w:style>
  <w:style w:type="paragraph" w:customStyle="1" w:styleId="25">
    <w:name w:val="p2"/>
    <w:basedOn w:val="1"/>
    <w:qFormat/>
    <w:uiPriority w:val="0"/>
    <w:pPr>
      <w:shd w:val="clear" w:color="auto" w:fill="FFFFFF"/>
      <w:jc w:val="left"/>
    </w:pPr>
    <w:rPr>
      <w:rFonts w:ascii="times" w:hAnsi="times" w:eastAsia="times" w:cs="Times New Roman"/>
      <w:kern w:val="0"/>
      <w:sz w:val="42"/>
      <w:szCs w:val="42"/>
    </w:rPr>
  </w:style>
  <w:style w:type="paragraph" w:customStyle="1" w:styleId="26">
    <w:name w:val="p8"/>
    <w:basedOn w:val="1"/>
    <w:qFormat/>
    <w:uiPriority w:val="0"/>
    <w:pPr>
      <w:shd w:val="clear" w:color="auto" w:fill="FFFFFF"/>
    </w:pPr>
    <w:rPr>
      <w:rFonts w:ascii="Times New Roman" w:hAnsi="Times New Roman" w:cs="Times New Roman"/>
      <w:kern w:val="0"/>
      <w:sz w:val="42"/>
      <w:szCs w:val="4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336</Words>
  <Characters>1919</Characters>
  <Lines>15</Lines>
  <Paragraphs>4</Paragraphs>
  <TotalTime>3</TotalTime>
  <ScaleCrop>false</ScaleCrop>
  <LinksUpToDate>false</LinksUpToDate>
  <CharactersWithSpaces>2251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2022-08-10T22:08:00Z</dcterms:created>
  <dc:creator>yinling</dc:creator>
  <cp:lastModifiedBy>kylin</cp:lastModifiedBy>
  <cp:lastPrinted>2022-08-16T15:51:00Z</cp:lastPrinted>
  <dcterms:modified xsi:type="dcterms:W3CDTF">2022-08-16T08:41:53Z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C738A2CE64CB4849802ECD7605F600FC</vt:lpwstr>
  </property>
</Properties>
</file>